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header3.xml.rels" ContentType="application/vnd.openxmlformats-package.relationships+xml"/>
  <Override PartName="/word/_rels/header1.xml.rels" ContentType="application/vnd.openxmlformats-package.relationships+xml"/>
  <Override PartName="/word/_rels/header2.xml.rels" ContentType="application/vnd.openxmlformats-package.relationships+xml"/>
  <Override PartName="/word/_rels/document.xml.rels" ContentType="application/vnd.openxmlformats-package.relationships+xml"/>
  <Override PartName="/word/numbering.xml" ContentType="application/vnd.openxmlformats-officedocument.wordprocessingml.numbering+xml"/>
  <Override PartName="/word/footer3.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media/image3.png" ContentType="image/png"/>
  <Override PartName="/word/document.xml" ContentType="application/vnd.openxmlformats-officedocument.wordprocessingml.document.main+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numPr>
          <w:ilvl w:val="0"/>
          <w:numId w:val="0"/>
        </w:numPr>
        <w:shd w:val="clear" w:color="auto" w:fill="FFFFFF"/>
        <w:spacing w:before="300" w:after="150"/>
        <w:ind w:left="0" w:hanging="0"/>
        <w:jc w:val="both"/>
        <w:outlineLvl w:val="1"/>
        <w:rPr>
          <w:rFonts w:ascii="Times New Roman" w:hAnsi="Times New Roman" w:eastAsia="Times New Roman" w:cs="Times New Roman"/>
          <w:b/>
          <w:b/>
          <w:bCs/>
          <w:i/>
          <w:i/>
          <w:iCs/>
          <w:color w:val="100000"/>
          <w:sz w:val="24"/>
          <w:szCs w:val="24"/>
        </w:rPr>
      </w:pPr>
      <w:bookmarkStart w:id="0" w:name="_GoBack"/>
      <w:bookmarkEnd w:id="0"/>
      <w:r>
        <w:rPr>
          <w:rFonts w:eastAsia="Times New Roman" w:cs="Times New Roman" w:ascii="Times New Roman" w:hAnsi="Times New Roman"/>
          <w:b/>
          <w:bCs/>
          <w:color w:val="100000"/>
          <w:sz w:val="24"/>
          <w:szCs w:val="24"/>
        </w:rPr>
        <w:t xml:space="preserve">Termeni și condiții </w:t>
      </w:r>
      <w:r>
        <w:rPr>
          <w:rFonts w:eastAsia="Times New Roman" w:cs="Times New Roman" w:ascii="Times New Roman" w:hAnsi="Times New Roman"/>
          <w:b/>
          <w:bCs/>
          <w:i/>
          <w:iCs/>
          <w:color w:val="100000"/>
          <w:sz w:val="24"/>
          <w:szCs w:val="24"/>
        </w:rPr>
        <w:t>‘‘Împrumut online’’</w:t>
      </w:r>
    </w:p>
    <w:p>
      <w:pPr>
        <w:pStyle w:val="Normal"/>
        <w:shd w:val="clear" w:color="auto" w:fill="FFFFFF"/>
        <w:spacing w:before="0" w:after="150"/>
        <w:jc w:val="both"/>
        <w:rPr>
          <w:rFonts w:ascii="Times New Roman" w:hAnsi="Times New Roman" w:eastAsia="Times New Roman" w:cs="Times New Roman"/>
          <w:b/>
          <w:b/>
          <w:bCs/>
          <w:color w:val="100000"/>
          <w:sz w:val="24"/>
          <w:szCs w:val="24"/>
        </w:rPr>
      </w:pPr>
      <w:r>
        <w:rPr>
          <w:rFonts w:eastAsia="Times New Roman" w:cs="Times New Roman" w:ascii="Times New Roman" w:hAnsi="Times New Roman"/>
          <w:b/>
          <w:bCs/>
          <w:color w:val="100000"/>
          <w:sz w:val="24"/>
          <w:szCs w:val="24"/>
        </w:rPr>
        <w:t>I. Prevederi generale</w:t>
      </w:r>
    </w:p>
    <w:p>
      <w:pPr>
        <w:pStyle w:val="Normal"/>
        <w:shd w:val="clear" w:color="auto" w:fill="FFFFFF"/>
        <w:spacing w:before="0" w:after="150"/>
        <w:jc w:val="both"/>
        <w:rPr>
          <w:rFonts w:ascii="Times New Roman" w:hAnsi="Times New Roman" w:eastAsia="Times New Roman" w:cs="Times New Roman"/>
          <w:b/>
          <w:b/>
          <w:bCs/>
          <w:color w:val="100000"/>
          <w:sz w:val="24"/>
          <w:szCs w:val="24"/>
        </w:rPr>
      </w:pPr>
      <w:r>
        <w:rPr>
          <w:rFonts w:eastAsia="Times New Roman" w:cs="Times New Roman" w:ascii="Times New Roman" w:hAnsi="Times New Roman"/>
          <w:b/>
          <w:bCs/>
          <w:color w:val="100000"/>
          <w:sz w:val="24"/>
          <w:szCs w:val="24"/>
        </w:rPr>
        <w:t xml:space="preserve">1. Cine suntem? </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b/>
          <w:bCs/>
          <w:color w:val="100000"/>
          <w:sz w:val="24"/>
          <w:szCs w:val="24"/>
        </w:rPr>
        <w:t>EXPRESS CREDIT AMANET SRL,</w:t>
      </w:r>
      <w:r>
        <w:rPr>
          <w:rFonts w:eastAsia="Times New Roman" w:cs="Times New Roman" w:ascii="Times New Roman" w:hAnsi="Times New Roman"/>
          <w:color w:val="100000"/>
          <w:sz w:val="24"/>
          <w:szCs w:val="24"/>
        </w:rPr>
        <w:t xml:space="preserve"> o societate comercială cu sediul social în Mun. Iasi, Șoseaua Națională nr. 37, Aria Office Center, etaj 2, jud. Iaşi, România, înregistrată la Oficiul Registrului Comerţului, sub nr. J2002000997227, Cod Unic de Identificare Fiscală RO 14890723, înscrisă în Reg. de Evidența BNR sub nr. E-PJR-24-030287/07.07.2006. </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r>
    </w:p>
    <w:p>
      <w:pPr>
        <w:pStyle w:val="Normal"/>
        <w:shd w:val="clear" w:color="auto" w:fill="FFFFFF"/>
        <w:spacing w:before="0" w:after="150"/>
        <w:jc w:val="both"/>
        <w:rPr>
          <w:rFonts w:ascii="Times New Roman" w:hAnsi="Times New Roman" w:eastAsia="Times New Roman" w:cs="Times New Roman"/>
          <w:b/>
          <w:b/>
          <w:bCs/>
          <w:color w:val="100000"/>
          <w:sz w:val="24"/>
          <w:szCs w:val="24"/>
        </w:rPr>
      </w:pPr>
      <w:r>
        <w:rPr>
          <w:rFonts w:eastAsia="Times New Roman" w:cs="Times New Roman" w:ascii="Times New Roman" w:hAnsi="Times New Roman"/>
          <w:b/>
          <w:bCs/>
          <w:color w:val="100000"/>
          <w:sz w:val="24"/>
          <w:szCs w:val="24"/>
        </w:rPr>
        <w:t>2. Cum funcționează serviciul de împrumut online?</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 xml:space="preserve">Pentru utilizarea site-ului expresscredit.ro și a serviciului </w:t>
      </w:r>
      <w:r>
        <w:rPr>
          <w:rFonts w:eastAsia="Times New Roman" w:cs="Times New Roman" w:ascii="Times New Roman" w:hAnsi="Times New Roman"/>
          <w:b/>
          <w:bCs/>
          <w:i/>
          <w:iCs/>
          <w:color w:val="100000"/>
          <w:sz w:val="24"/>
          <w:szCs w:val="24"/>
        </w:rPr>
        <w:t>Împrumut online</w:t>
      </w:r>
      <w:r>
        <w:rPr>
          <w:rFonts w:eastAsia="Times New Roman" w:cs="Times New Roman" w:ascii="Times New Roman" w:hAnsi="Times New Roman"/>
          <w:color w:val="100000"/>
          <w:sz w:val="24"/>
          <w:szCs w:val="24"/>
        </w:rPr>
        <w:t xml:space="preserve"> oferite de către EXPRESS CREDIT AMANET SRL este necesar să citiți cu mare atenție, să înțelegeți și să acceptați termenii și condițiile de mai jos. </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Prin accesarea acestui site web și/sau a oricărei pagini a acestuia sunteți de acord cu termenii și condițiile privind serviciile oferite de către EXPRESS CREDIT AMANET SRL, fără alte restricții. </w:t>
      </w:r>
    </w:p>
    <w:p>
      <w:pPr>
        <w:pStyle w:val="Normal"/>
        <w:shd w:val="clear" w:color="auto" w:fill="FFFFFF"/>
        <w:spacing w:beforeAutospacing="1" w:afterAutospacing="1"/>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Accesul la acest serviciu în vederea efectuării unui împrumut online este permis oricărui potențial Client care acționează cu un scop legitim și care are intenția de a solicita un împrumut online, cu respectarea acestor termeni și condiții. </w:t>
      </w:r>
    </w:p>
    <w:p>
      <w:pPr>
        <w:pStyle w:val="Normal"/>
        <w:shd w:val="clear" w:color="auto" w:fill="FFFFFF"/>
        <w:spacing w:beforeAutospacing="1" w:afterAutospacing="1"/>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Prin Client înțelegem o persoană fizică care are minimum 18 ani și care are un act de identitate valabil, cont etc., având calitatea de DEBITOR în contractul de împrumut cu amanet încheiat la distanță cu societatea EXPRESS CREDIT AMANET SRL.</w:t>
      </w:r>
    </w:p>
    <w:p>
      <w:pPr>
        <w:pStyle w:val="Normal"/>
        <w:shd w:val="clear" w:color="auto" w:fill="FFFFFF"/>
        <w:spacing w:beforeAutospacing="1" w:afterAutospacing="1"/>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Este strict interzisă utilizarea abuzivă a acestui serviciu. Reprezintă utilizare abuzivă într-un mod care contravine practicilor comerciale corecte, legislației în vigoare sau în orice alt mod care ar fi de natură să prejudicieze societatea Express Credit Amanet SRL sau Afiliații săi.</w:t>
      </w:r>
    </w:p>
    <w:p>
      <w:pPr>
        <w:pStyle w:val="Normal"/>
        <w:jc w:val="both"/>
        <w:rPr>
          <w:rFonts w:ascii="Times New Roman" w:hAnsi="Times New Roman" w:cs="Times New Roman"/>
          <w:sz w:val="24"/>
          <w:szCs w:val="24"/>
        </w:rPr>
      </w:pPr>
      <w:r>
        <w:rPr>
          <w:rFonts w:eastAsia="Times New Roman" w:cs="Times New Roman" w:ascii="Times New Roman" w:hAnsi="Times New Roman"/>
          <w:color w:val="100000"/>
          <w:sz w:val="24"/>
          <w:szCs w:val="24"/>
        </w:rPr>
        <w:t xml:space="preserve">Prin utilizarea serviciului </w:t>
      </w:r>
      <w:r>
        <w:rPr>
          <w:rFonts w:eastAsia="Times New Roman" w:cs="Times New Roman" w:ascii="Times New Roman" w:hAnsi="Times New Roman"/>
          <w:b/>
          <w:bCs/>
          <w:i/>
          <w:iCs/>
          <w:color w:val="100000"/>
          <w:sz w:val="24"/>
          <w:szCs w:val="24"/>
        </w:rPr>
        <w:t>Împrumut online</w:t>
      </w:r>
      <w:r>
        <w:rPr>
          <w:rFonts w:eastAsia="Times New Roman" w:cs="Times New Roman" w:ascii="Times New Roman" w:hAnsi="Times New Roman"/>
          <w:color w:val="100000"/>
          <w:sz w:val="24"/>
          <w:szCs w:val="24"/>
        </w:rPr>
        <w:t xml:space="preserve"> și, implicit, înregistrarea unei </w:t>
      </w:r>
      <w:r>
        <w:rPr>
          <w:rFonts w:eastAsia="Times New Roman" w:cs="Times New Roman" w:ascii="Times New Roman" w:hAnsi="Times New Roman"/>
          <w:b/>
          <w:bCs/>
          <w:color w:val="100000"/>
          <w:sz w:val="24"/>
          <w:szCs w:val="24"/>
        </w:rPr>
        <w:t>Cereri de împrumut</w:t>
      </w:r>
      <w:r>
        <w:rPr>
          <w:rFonts w:eastAsia="Times New Roman" w:cs="Times New Roman" w:ascii="Times New Roman" w:hAnsi="Times New Roman"/>
          <w:color w:val="100000"/>
          <w:sz w:val="24"/>
          <w:szCs w:val="24"/>
        </w:rPr>
        <w:t xml:space="preserve"> (denumită în ceea ce urmează CERERE), acceptați și sunteti de acord cu forma de comunicare la distanță (telefonic și e-mail) prin care ne derulăm operațiunile. De asemenea, acceptați și consimțiți faptul </w:t>
      </w:r>
      <w:r>
        <w:rPr>
          <w:rFonts w:cs="Times New Roman" w:ascii="Times New Roman" w:hAnsi="Times New Roman"/>
          <w:sz w:val="24"/>
          <w:szCs w:val="24"/>
        </w:rPr>
        <w:t xml:space="preserve">că încheierea contractului de împrumut cu amanet încheiat la distanță se va face în momentul primirii mesajului de confirmare a cererii dumneavoastră și pentru valabila încheiere a acestui tip de contract nu va fi nevoie de semnătură olografă sau electronică. Constituie confirmarea cererii dumneavoastră primirea email-ului final prin care Express Credit Amanet SRL vă transmite faptul că vă va vira suma împrumutată în contul indicat de dumneavoastră în termen de 1 (una) zi lucrătoare de la transmiterea email-ului. </w:t>
      </w:r>
    </w:p>
    <w:p>
      <w:pPr>
        <w:pStyle w:val="Normal"/>
        <w:tabs>
          <w:tab w:val="clear" w:pos="720"/>
          <w:tab w:val="left" w:pos="6525" w:leader="none"/>
        </w:tabs>
        <w:jc w:val="both"/>
        <w:rPr>
          <w:rFonts w:ascii="Times New Roman" w:hAnsi="Times New Roman" w:cs="Times New Roman"/>
          <w:sz w:val="24"/>
          <w:szCs w:val="24"/>
        </w:rPr>
      </w:pPr>
      <w:r>
        <w:rPr>
          <w:rFonts w:cs="Times New Roman" w:ascii="Times New Roman" w:hAnsi="Times New Roman"/>
          <w:sz w:val="24"/>
          <w:szCs w:val="24"/>
        </w:rPr>
        <w:tab/>
      </w:r>
    </w:p>
    <w:p>
      <w:pPr>
        <w:pStyle w:val="Normal"/>
        <w:shd w:val="clear" w:color="auto" w:fill="FFFFFF"/>
        <w:spacing w:before="0" w:after="150"/>
        <w:jc w:val="both"/>
        <w:rPr>
          <w:rFonts w:ascii="Times New Roman" w:hAnsi="Times New Roman" w:eastAsia="Times New Roman" w:cs="Times New Roman"/>
          <w:b/>
          <w:b/>
          <w:bCs/>
          <w:color w:val="100000"/>
          <w:sz w:val="24"/>
          <w:szCs w:val="24"/>
        </w:rPr>
      </w:pPr>
      <w:r>
        <w:rPr>
          <w:rFonts w:eastAsia="Times New Roman" w:cs="Times New Roman" w:ascii="Times New Roman" w:hAnsi="Times New Roman"/>
          <w:b/>
          <w:bCs/>
          <w:color w:val="100000"/>
          <w:sz w:val="24"/>
          <w:szCs w:val="24"/>
        </w:rPr>
        <w:t>II. Efectuarea cererii de împrumut online</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În cazul în care doriți să obțineți un împrumut online, va trebui mai întâi să treceți printr-un proces de evaluare a produsului dumneavoastră (electronic sau din aur/argint). Astfel:</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 xml:space="preserve">2.1. Va trebui să completați formularul de comandă virtual denumit </w:t>
      </w:r>
      <w:r>
        <w:rPr>
          <w:rFonts w:eastAsia="Times New Roman" w:cs="Times New Roman" w:ascii="Times New Roman" w:hAnsi="Times New Roman"/>
          <w:b/>
          <w:bCs/>
          <w:i/>
          <w:iCs/>
          <w:color w:val="100000"/>
          <w:sz w:val="24"/>
          <w:szCs w:val="24"/>
        </w:rPr>
        <w:t>Cerere împrumut online</w:t>
      </w:r>
      <w:r>
        <w:rPr>
          <w:rFonts w:eastAsia="Times New Roman" w:cs="Times New Roman" w:ascii="Times New Roman" w:hAnsi="Times New Roman"/>
          <w:color w:val="100000"/>
          <w:sz w:val="24"/>
          <w:szCs w:val="24"/>
        </w:rPr>
        <w:t xml:space="preserve"> pe care îl regăsiți la adresa </w:t>
      </w:r>
      <w:hyperlink r:id="rId2">
        <w:r>
          <w:rPr>
            <w:rStyle w:val="InternetLink"/>
            <w:rFonts w:eastAsia="Times New Roman" w:cs="Times New Roman" w:ascii="Times New Roman" w:hAnsi="Times New Roman"/>
            <w:sz w:val="24"/>
            <w:szCs w:val="24"/>
          </w:rPr>
          <w:t>https://www.expresscredit.ro/cere-imprumut/</w:t>
        </w:r>
      </w:hyperlink>
      <w:r>
        <w:rPr>
          <w:rFonts w:eastAsia="Times New Roman" w:cs="Times New Roman" w:ascii="Times New Roman" w:hAnsi="Times New Roman"/>
          <w:color w:val="100000"/>
          <w:sz w:val="24"/>
          <w:szCs w:val="24"/>
        </w:rPr>
        <w:t xml:space="preserve">  sau să ne transmiteți un email la adresa </w:t>
      </w:r>
      <w:hyperlink r:id="rId3">
        <w:r>
          <w:rPr>
            <w:rStyle w:val="InternetLink"/>
            <w:rFonts w:cs="Times New Roman" w:ascii="Times New Roman" w:hAnsi="Times New Roman"/>
            <w:sz w:val="24"/>
            <w:szCs w:val="24"/>
          </w:rPr>
          <w:t>imprumutonline@expresscredit.ro</w:t>
        </w:r>
      </w:hyperlink>
      <w:r>
        <w:rPr>
          <w:rFonts w:eastAsia="Times New Roman" w:cs="Times New Roman" w:ascii="Times New Roman" w:hAnsi="Times New Roman"/>
          <w:color w:val="100000"/>
          <w:sz w:val="24"/>
          <w:szCs w:val="24"/>
        </w:rPr>
        <w:t>, unde să specificați:</w:t>
      </w:r>
    </w:p>
    <w:p>
      <w:pPr>
        <w:pStyle w:val="ListParagraph"/>
        <w:numPr>
          <w:ilvl w:val="0"/>
          <w:numId w:val="2"/>
        </w:numPr>
        <w:shd w:val="clear" w:color="auto" w:fill="FFFFFF"/>
        <w:spacing w:lineRule="auto" w:line="276" w:before="0" w:after="150"/>
        <w:ind w:left="567" w:hanging="283"/>
        <w:contextualSpacing/>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nume, prenume</w:t>
      </w:r>
    </w:p>
    <w:p>
      <w:pPr>
        <w:pStyle w:val="ListParagraph"/>
        <w:numPr>
          <w:ilvl w:val="0"/>
          <w:numId w:val="2"/>
        </w:numPr>
        <w:shd w:val="clear" w:color="auto" w:fill="FFFFFF"/>
        <w:spacing w:lineRule="auto" w:line="276" w:before="0" w:after="150"/>
        <w:ind w:left="567" w:hanging="283"/>
        <w:contextualSpacing/>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număr de telefon, adresa de email</w:t>
      </w:r>
    </w:p>
    <w:p>
      <w:pPr>
        <w:pStyle w:val="ListParagraph"/>
        <w:numPr>
          <w:ilvl w:val="0"/>
          <w:numId w:val="2"/>
        </w:numPr>
        <w:shd w:val="clear" w:color="auto" w:fill="FFFFFF"/>
        <w:spacing w:lineRule="auto" w:line="276" w:before="0" w:after="150"/>
        <w:ind w:left="567" w:hanging="283"/>
        <w:contextualSpacing/>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descrierea bunului dumneavoastră (gramaj, carataj pentru aur, marcă, grad de uzură pentru electronice) însoțit de o fotografie a acestuia</w:t>
      </w:r>
    </w:p>
    <w:p>
      <w:pPr>
        <w:pStyle w:val="ListParagraph"/>
        <w:numPr>
          <w:ilvl w:val="0"/>
          <w:numId w:val="2"/>
        </w:numPr>
        <w:shd w:val="clear" w:color="auto" w:fill="FFFFFF"/>
        <w:spacing w:lineRule="auto" w:line="276" w:before="0" w:after="150"/>
        <w:ind w:left="567" w:hanging="283"/>
        <w:contextualSpacing/>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cuantumul împrumutului dorit</w:t>
      </w:r>
    </w:p>
    <w:p>
      <w:pPr>
        <w:pStyle w:val="ListParagraph"/>
        <w:numPr>
          <w:ilvl w:val="0"/>
          <w:numId w:val="2"/>
        </w:numPr>
        <w:shd w:val="clear" w:color="auto" w:fill="FFFFFF"/>
        <w:spacing w:lineRule="auto" w:line="276" w:before="0" w:after="150"/>
        <w:ind w:left="567" w:hanging="283"/>
        <w:contextualSpacing/>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 xml:space="preserve">orice alte detalii pe care le considerați necesare. </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 xml:space="preserve">2.2 În maxim o zi lucrătoare de la trimiterea formularului/email-ului, veți primi prin email o evaluare preliminară a produsului dumneavoastră. </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2.3. În situația în care sunteți de acord, pasul următor este să ne confirmați, iar noi vă vom transmite datele unde să ne transmiteți solicitarea de ridicare a bunului de la adresa indicată de dumneavoastră, prin intermediul serviciului de curierat pus la dispoziție de EXPRESS CREDIT AMANET SRL. În acest sens ne veți preciza și intervalul orar în care curierul pus la dispoziție de EXPRESS CREDIT AMANET SRL poate ajunge la dumneavoastră pentru a ridica bunul în mod gratuit. Bunul va fi asigurat automat până la o valoare de maximum 1000 lei (unamielei).</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 </w:t>
      </w:r>
    </w:p>
    <w:p>
      <w:pPr>
        <w:pStyle w:val="Normal"/>
        <w:shd w:val="clear" w:color="auto" w:fill="FFFFFF"/>
        <w:spacing w:before="0" w:after="150"/>
        <w:jc w:val="both"/>
        <w:rPr>
          <w:rFonts w:ascii="Times New Roman" w:hAnsi="Times New Roman" w:eastAsia="Times New Roman" w:cs="Times New Roman"/>
          <w:b/>
          <w:b/>
          <w:bCs/>
          <w:color w:val="100000"/>
          <w:sz w:val="24"/>
          <w:szCs w:val="24"/>
        </w:rPr>
      </w:pPr>
      <w:r>
        <w:rPr>
          <w:rFonts w:eastAsia="Times New Roman" w:cs="Times New Roman" w:ascii="Times New Roman" w:hAnsi="Times New Roman"/>
          <w:b/>
          <w:bCs/>
          <w:color w:val="100000"/>
          <w:sz w:val="24"/>
          <w:szCs w:val="24"/>
        </w:rPr>
        <w:t xml:space="preserve">III. Evaluarea bunului </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3.1. Ulterior finalizării cu succes a comenzii și solicitării ridicării bunului, acesta va fi ridicat de curier, gratuit, în condiții de siguranță, de la adresa indicată, la data și în intervalul orar ales, astfel încât bunul dumneavoastră să fie evaluat de către personalul calificat Express Credit Amanet SRL. </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 xml:space="preserve">3.2. Pentru că ne dorim să sporim încrederea în serviciile oferite de Express Credit Amanet SRL, verificarea bunului dumneavoastră se va face la sediul Express Credit Amanet SRL, în condiții de maximă siguranță. </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3.3. Evaluarea bunului se va face de către personalul calificat angajat al Express Credit Amanet SRL. CLIENTUL acceptă și înțelege faptul că, pentru produsele din aur/argint, din gramajul brut al bunului, se va scădea greutatea materialelor auxiliare precum: pietre, piele, silicon, plastic, lemn, etc., precum și pierderea survenită în urma procesului de topire, pentru eventualitatea în care bunul nu mai este răscumparat.</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cs="Times New Roman" w:ascii="Times New Roman" w:hAnsi="Times New Roman"/>
          <w:sz w:val="24"/>
          <w:szCs w:val="24"/>
        </w:rPr>
        <w:t xml:space="preserve">3.4. </w:t>
      </w:r>
      <w:r>
        <w:rPr>
          <w:rFonts w:eastAsia="Times New Roman" w:cs="Times New Roman" w:ascii="Times New Roman" w:hAnsi="Times New Roman"/>
          <w:color w:val="100000"/>
          <w:sz w:val="24"/>
          <w:szCs w:val="24"/>
        </w:rPr>
        <w:t>CLIENTUL acceptă și înțelege faptul că</w:t>
      </w:r>
      <w:r>
        <w:rPr>
          <w:rFonts w:cs="Times New Roman" w:ascii="Times New Roman" w:hAnsi="Times New Roman"/>
          <w:sz w:val="24"/>
          <w:szCs w:val="24"/>
        </w:rPr>
        <w:t xml:space="preserve"> pentru o evaluare corectă a produselor electronice, acolo unde este cazul, acestea trebuie transmise deblocate, neparolate, libere de orice fel de sarcini, parole, amprente, coduri PIN, coduri de securitate sau orice alte mecanism de blocaj. De asemenea, produsele trebuie să fie libere de orice fel de date personale sau orice alte fișiere. În cazul în care Produsul returnat este blocat cu parole de acces (cont de Google, Icloud etc.), Express Credit Amanet SRL nu va putea proceda la evaluarea bunului până în momentul în care nu veți șterge (de la distanță dacă este posibil), informațiile aferente acelor conturi și orice fel de alte date, personale sau nu, care există în produs.</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3.5. După evaluarea bunului va rezulta o valoare care poate să corespundă sau nu cu evaluarea inițială de la transmiterea comenzii. Această valoare va constitui Oferta și împreună cu contractul de împrumut și anexele aferente, va fi transmisă pe adresa dumneavoastră de e-mail. Oferta va putea fi acceptată sau refuzată de catre dumneavoastră.</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r>
    </w:p>
    <w:p>
      <w:pPr>
        <w:pStyle w:val="Normal"/>
        <w:shd w:val="clear" w:color="auto" w:fill="FFFFFF"/>
        <w:spacing w:before="0" w:after="150"/>
        <w:jc w:val="both"/>
        <w:rPr>
          <w:rFonts w:ascii="Times New Roman" w:hAnsi="Times New Roman" w:eastAsia="Times New Roman" w:cs="Times New Roman"/>
          <w:b/>
          <w:b/>
          <w:bCs/>
          <w:color w:val="100000"/>
          <w:sz w:val="24"/>
          <w:szCs w:val="24"/>
        </w:rPr>
      </w:pPr>
      <w:r>
        <w:rPr>
          <w:rFonts w:eastAsia="Times New Roman" w:cs="Times New Roman" w:ascii="Times New Roman" w:hAnsi="Times New Roman"/>
          <w:b/>
          <w:bCs/>
          <w:color w:val="100000"/>
          <w:sz w:val="24"/>
          <w:szCs w:val="24"/>
        </w:rPr>
        <w:t>IV. Încheierea contractului/Refuzul ofertei</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4. 1. În cazul în care refuzați OFERTA, ați luat la cunoștință și acceptați faptul că bunul se va restitui de către EXPRESS CREDIT AMANET SRL prin serviciul de curierat către dumneavoastră, la adresa indicată o dată cu accesarea opțiunii de refuz. De asemenea, acceptați faptul că, în acest caz, veți achita costul de transport a cărei valoare este calculată în funcție de destinație și costul de asigurare a bunului pe perioada transportului, a cărui valoare este în cuantum de 1% din valoarea evaluată a bunului acest procent putând fi modificat ca urmare a schimbării condițiilor transportatorului. Aceste sume se vor achita la livrare, direct curierului.</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4.2. Dacă sunteți de acord cu OFERTA finală, ne veți transmite prin email acceptul însoțit de contul bancar în care doriți să vă virăm suma împrumutată, iar noi vom face acest lucru în termen de 1 (una) zi lucrătoare.</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Suma împumutată poate fi transmisă doar prin intermediul unui cont bancar (IBAN) comunicat de dumneavoastră, nexistând posibilitatea de transmitere prin mandat poștal, numerar sau altă modalitate.</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 xml:space="preserve">De asemenea, în cazul în care acceptați oferta EXPRESS CREDIT AMANET SRL, veți putea solicita întreaga sumă din Ofertă sau parte din aceasta, urmând ca ulterior să puteți suplimenta suma împrumutată. </w:t>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color w:val="100000"/>
          <w:sz w:val="24"/>
          <w:szCs w:val="24"/>
        </w:rPr>
        <w:t>Prin acceptarea ofertei vă exprimați acordul cu privire la condițiile comerciale și la modalitatea de desfășurare a relațiilor contractuale dintre dvs. și EXPRESS CREDIT AMANET SRL: modalitate de încheiere, termen de restituire, comisioane, cost de transport, cost de asigurare pe perioada transportului, modalități de rambursare, etc.  </w:t>
      </w:r>
    </w:p>
    <w:p>
      <w:pPr>
        <w:sectPr>
          <w:headerReference w:type="default" r:id="rId4"/>
          <w:footerReference w:type="default" r:id="rId5"/>
          <w:type w:val="nextPage"/>
          <w:pgSz w:w="11906" w:h="16838"/>
          <w:pgMar w:left="1440" w:right="1440" w:header="720" w:top="2022" w:footer="720" w:bottom="993" w:gutter="0"/>
          <w:pgNumType w:fmt="decimal"/>
          <w:formProt w:val="false"/>
          <w:textDirection w:val="lrTb"/>
          <w:docGrid w:type="default" w:linePitch="360" w:charSpace="4096"/>
        </w:sectPr>
        <w:pStyle w:val="Normal"/>
        <w:shd w:val="clear" w:color="auto" w:fill="FFFFFF"/>
        <w:spacing w:before="0" w:after="150"/>
        <w:jc w:val="both"/>
        <w:rPr>
          <w:rFonts w:ascii="Times New Roman" w:hAnsi="Times New Roman" w:cs="Times New Roman"/>
          <w:sz w:val="24"/>
          <w:szCs w:val="24"/>
          <w:lang w:val="en-GB"/>
        </w:rPr>
      </w:pPr>
      <w:r>
        <w:rPr>
          <w:rFonts w:cs="Times New Roman" w:ascii="Times New Roman" w:hAnsi="Times New Roman"/>
          <w:sz w:val="24"/>
          <w:szCs w:val="24"/>
        </w:rPr>
        <w:t>Pentru suma împrumutată, comisionul se calculează conform grilei de comisionare prevăzută mai jos:</w:t>
      </w:r>
    </w:p>
    <w:tbl>
      <w:tblPr>
        <w:tblStyle w:val="TableGrid"/>
        <w:tblW w:w="15672"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244"/>
        <w:gridCol w:w="1083"/>
        <w:gridCol w:w="1438"/>
        <w:gridCol w:w="1243"/>
        <w:gridCol w:w="1277"/>
        <w:gridCol w:w="2257"/>
        <w:gridCol w:w="984"/>
        <w:gridCol w:w="1365"/>
        <w:gridCol w:w="1260"/>
        <w:gridCol w:w="1260"/>
        <w:gridCol w:w="1259"/>
      </w:tblGrid>
      <w:tr>
        <w:trPr>
          <w:trHeight w:val="300" w:hRule="atLeast"/>
        </w:trPr>
        <w:tc>
          <w:tcPr>
            <w:tcW w:w="7285" w:type="dxa"/>
            <w:gridSpan w:val="5"/>
            <w:tcBorders/>
          </w:tcPr>
          <w:p>
            <w:pPr>
              <w:pStyle w:val="Normal"/>
              <w:pageBreakBefore/>
              <w:widowControl w:val="false"/>
              <w:suppressAutoHyphens w:val="true"/>
              <w:spacing w:lineRule="auto" w:line="240" w:before="0" w:after="0"/>
              <w:jc w:val="left"/>
              <w:rPr>
                <w:b/>
                <w:b/>
                <w:bCs/>
                <w:color w:val="000000" w:themeColor="text1"/>
                <w:sz w:val="18"/>
                <w:szCs w:val="20"/>
              </w:rPr>
            </w:pPr>
            <w:r>
              <w:rPr>
                <w:rFonts w:eastAsia="Calibri" w:cs=""/>
                <w:b/>
                <w:bCs/>
                <w:color w:val="000000" w:themeColor="text1"/>
                <w:kern w:val="0"/>
                <w:sz w:val="18"/>
                <w:szCs w:val="20"/>
                <w:lang w:val="en-US" w:eastAsia="en-US" w:bidi="ar-SA"/>
              </w:rPr>
              <w:t>Grila de comisionare - Aur și Argint</w:t>
            </w:r>
          </w:p>
        </w:tc>
        <w:tc>
          <w:tcPr>
            <w:tcW w:w="8385" w:type="dxa"/>
            <w:gridSpan w:val="6"/>
            <w:tcBorders/>
          </w:tcPr>
          <w:p>
            <w:pPr>
              <w:pStyle w:val="Normal"/>
              <w:widowControl w:val="false"/>
              <w:suppressAutoHyphens w:val="true"/>
              <w:spacing w:lineRule="auto" w:line="240" w:before="0" w:after="0"/>
              <w:jc w:val="left"/>
              <w:rPr>
                <w:b/>
                <w:b/>
                <w:bCs/>
                <w:color w:val="000000" w:themeColor="text1"/>
                <w:sz w:val="18"/>
              </w:rPr>
            </w:pPr>
            <w:r>
              <w:rPr>
                <w:rFonts w:eastAsia="Calibri" w:cs=""/>
                <w:b/>
                <w:bCs/>
                <w:color w:val="000000" w:themeColor="text1"/>
                <w:kern w:val="0"/>
                <w:sz w:val="18"/>
                <w:szCs w:val="22"/>
                <w:lang w:val="en-US" w:eastAsia="en-US" w:bidi="ar-SA"/>
              </w:rPr>
              <w:t>Grila de comisionare - Electro</w:t>
            </w:r>
          </w:p>
        </w:tc>
      </w:tr>
      <w:tr>
        <w:trPr>
          <w:trHeight w:val="300" w:hRule="atLeast"/>
        </w:trPr>
        <w:tc>
          <w:tcPr>
            <w:tcW w:w="2244"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Limite sumă contract</w:t>
            </w:r>
          </w:p>
        </w:tc>
        <w:tc>
          <w:tcPr>
            <w:tcW w:w="1083" w:type="dxa"/>
            <w:tcBorders/>
          </w:tcPr>
          <w:p>
            <w:pPr>
              <w:pStyle w:val="Normal"/>
              <w:widowControl w:val="false"/>
              <w:suppressAutoHyphens w:val="true"/>
              <w:spacing w:lineRule="auto" w:line="240" w:before="0" w:after="0"/>
              <w:jc w:val="left"/>
              <w:rPr>
                <w:color w:val="000000" w:themeColor="text1"/>
                <w:sz w:val="18"/>
                <w:szCs w:val="20"/>
              </w:rPr>
            </w:pPr>
            <w:r>
              <w:rPr>
                <w:rFonts w:eastAsia="Calibri" w:cs=""/>
                <w:color w:val="000000" w:themeColor="text1"/>
                <w:kern w:val="0"/>
                <w:sz w:val="18"/>
                <w:szCs w:val="20"/>
                <w:lang w:val="en-US" w:eastAsia="en-US" w:bidi="ar-SA"/>
              </w:rPr>
              <w:t>Durate minime</w:t>
            </w:r>
          </w:p>
        </w:tc>
        <w:tc>
          <w:tcPr>
            <w:tcW w:w="1438"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w:t>
            </w:r>
          </w:p>
        </w:tc>
        <w:tc>
          <w:tcPr>
            <w:tcW w:w="1243"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w:t>
            </w:r>
          </w:p>
        </w:tc>
        <w:tc>
          <w:tcPr>
            <w:tcW w:w="1277"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w:t>
            </w:r>
          </w:p>
        </w:tc>
        <w:tc>
          <w:tcPr>
            <w:tcW w:w="2257" w:type="dxa"/>
            <w:tcBorders/>
          </w:tcPr>
          <w:p>
            <w:pPr>
              <w:pStyle w:val="Normal"/>
              <w:widowControl w:val="false"/>
              <w:suppressAutoHyphens w:val="true"/>
              <w:spacing w:lineRule="auto" w:line="240" w:before="0" w:after="0"/>
              <w:jc w:val="left"/>
              <w:rPr>
                <w:color w:val="000000" w:themeColor="text1"/>
                <w:sz w:val="18"/>
                <w:szCs w:val="20"/>
              </w:rPr>
            </w:pPr>
            <w:r>
              <w:rPr>
                <w:rFonts w:eastAsia="Calibri" w:cs=""/>
                <w:color w:val="000000" w:themeColor="text1"/>
                <w:kern w:val="0"/>
                <w:sz w:val="18"/>
                <w:szCs w:val="20"/>
                <w:lang w:val="en-US" w:eastAsia="en-US" w:bidi="ar-SA"/>
              </w:rPr>
              <w:t>Limite sumă contract</w:t>
            </w:r>
          </w:p>
        </w:tc>
        <w:tc>
          <w:tcPr>
            <w:tcW w:w="984"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Durate minime</w:t>
            </w:r>
          </w:p>
        </w:tc>
        <w:tc>
          <w:tcPr>
            <w:tcW w:w="1365"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w:t>
            </w:r>
          </w:p>
        </w:tc>
        <w:tc>
          <w:tcPr>
            <w:tcW w:w="1260"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w:t>
            </w:r>
          </w:p>
        </w:tc>
        <w:tc>
          <w:tcPr>
            <w:tcW w:w="1260"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w:t>
            </w:r>
          </w:p>
        </w:tc>
        <w:tc>
          <w:tcPr>
            <w:tcW w:w="1259"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w:t>
            </w:r>
          </w:p>
        </w:tc>
      </w:tr>
      <w:tr>
        <w:trPr>
          <w:trHeight w:val="300" w:hRule="atLeast"/>
        </w:trPr>
        <w:tc>
          <w:tcPr>
            <w:tcW w:w="2244"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w:t>
            </w:r>
          </w:p>
        </w:tc>
        <w:tc>
          <w:tcPr>
            <w:tcW w:w="1083"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w:t>
            </w:r>
          </w:p>
        </w:tc>
        <w:tc>
          <w:tcPr>
            <w:tcW w:w="1438"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Client obișnuit</w:t>
            </w:r>
          </w:p>
        </w:tc>
        <w:tc>
          <w:tcPr>
            <w:tcW w:w="1243"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Client fidel 1</w:t>
            </w:r>
          </w:p>
        </w:tc>
        <w:tc>
          <w:tcPr>
            <w:tcW w:w="1277"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Client fidel 2</w:t>
            </w:r>
          </w:p>
        </w:tc>
        <w:tc>
          <w:tcPr>
            <w:tcW w:w="2257"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w:t>
            </w:r>
          </w:p>
        </w:tc>
        <w:tc>
          <w:tcPr>
            <w:tcW w:w="984"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w:t>
            </w:r>
          </w:p>
        </w:tc>
        <w:tc>
          <w:tcPr>
            <w:tcW w:w="1365"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Client obișnuit</w:t>
            </w:r>
          </w:p>
        </w:tc>
        <w:tc>
          <w:tcPr>
            <w:tcW w:w="1260"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Client fidel 1</w:t>
            </w:r>
          </w:p>
        </w:tc>
        <w:tc>
          <w:tcPr>
            <w:tcW w:w="1260"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Client fidel 2</w:t>
            </w:r>
          </w:p>
        </w:tc>
        <w:tc>
          <w:tcPr>
            <w:tcW w:w="1259"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Client fidel 3</w:t>
            </w:r>
          </w:p>
        </w:tc>
      </w:tr>
      <w:tr>
        <w:trPr>
          <w:trHeight w:val="300" w:hRule="atLeast"/>
        </w:trPr>
        <w:tc>
          <w:tcPr>
            <w:tcW w:w="2244" w:type="dxa"/>
            <w:tcBorders/>
          </w:tcPr>
          <w:p>
            <w:pPr>
              <w:pStyle w:val="Normal"/>
              <w:widowControl w:val="false"/>
              <w:suppressAutoHyphens w:val="true"/>
              <w:spacing w:lineRule="auto" w:line="240" w:before="0" w:after="0"/>
              <w:jc w:val="left"/>
              <w:rPr>
                <w:color w:val="000000" w:themeColor="text1"/>
                <w:sz w:val="20"/>
              </w:rPr>
            </w:pPr>
            <w:r>
              <w:rPr>
                <w:rFonts w:eastAsia="Calibri" w:cs=""/>
                <w:color w:val="000000" w:themeColor="text1"/>
                <w:kern w:val="0"/>
                <w:sz w:val="20"/>
                <w:szCs w:val="22"/>
                <w:lang w:val="en-US" w:eastAsia="en-US" w:bidi="ar-SA"/>
              </w:rPr>
              <w:t> </w:t>
            </w:r>
          </w:p>
        </w:tc>
        <w:tc>
          <w:tcPr>
            <w:tcW w:w="1083" w:type="dxa"/>
            <w:tcBorders/>
          </w:tcPr>
          <w:p>
            <w:pPr>
              <w:pStyle w:val="Normal"/>
              <w:widowControl w:val="false"/>
              <w:suppressAutoHyphens w:val="true"/>
              <w:spacing w:lineRule="auto" w:line="240" w:before="0" w:after="0"/>
              <w:jc w:val="left"/>
              <w:rPr>
                <w:color w:val="000000" w:themeColor="text1"/>
                <w:sz w:val="20"/>
              </w:rPr>
            </w:pPr>
            <w:r>
              <w:rPr>
                <w:rFonts w:eastAsia="Calibri" w:cs=""/>
                <w:color w:val="000000" w:themeColor="text1"/>
                <w:kern w:val="0"/>
                <w:sz w:val="20"/>
                <w:szCs w:val="22"/>
                <w:lang w:val="en-US" w:eastAsia="en-US" w:bidi="ar-SA"/>
              </w:rPr>
              <w:t> </w:t>
            </w:r>
          </w:p>
        </w:tc>
        <w:tc>
          <w:tcPr>
            <w:tcW w:w="1438" w:type="dxa"/>
            <w:tcBorders/>
          </w:tcPr>
          <w:p>
            <w:pPr>
              <w:pStyle w:val="Normal"/>
              <w:widowControl w:val="false"/>
              <w:suppressAutoHyphens w:val="true"/>
              <w:spacing w:lineRule="auto" w:line="240" w:before="0" w:after="0"/>
              <w:jc w:val="left"/>
              <w:rPr>
                <w:color w:val="000000" w:themeColor="text1"/>
                <w:sz w:val="20"/>
              </w:rPr>
            </w:pPr>
            <w:r>
              <w:rPr>
                <w:rFonts w:eastAsia="Calibri" w:cs=""/>
                <w:color w:val="000000" w:themeColor="text1"/>
                <w:kern w:val="0"/>
                <w:sz w:val="20"/>
                <w:szCs w:val="22"/>
                <w:lang w:val="en-US" w:eastAsia="en-US" w:bidi="ar-SA"/>
              </w:rPr>
              <w:t> </w:t>
            </w:r>
          </w:p>
        </w:tc>
        <w:tc>
          <w:tcPr>
            <w:tcW w:w="1243" w:type="dxa"/>
            <w:tcBorders/>
          </w:tcPr>
          <w:p>
            <w:pPr>
              <w:pStyle w:val="Normal"/>
              <w:widowControl w:val="false"/>
              <w:suppressAutoHyphens w:val="true"/>
              <w:spacing w:lineRule="auto" w:line="240" w:before="0" w:after="0"/>
              <w:jc w:val="left"/>
              <w:rPr>
                <w:color w:val="000000" w:themeColor="text1"/>
                <w:sz w:val="20"/>
              </w:rPr>
            </w:pPr>
            <w:r>
              <w:rPr>
                <w:rFonts w:eastAsia="Calibri" w:cs=""/>
                <w:color w:val="000000" w:themeColor="text1"/>
                <w:kern w:val="0"/>
                <w:sz w:val="20"/>
                <w:szCs w:val="22"/>
                <w:lang w:val="en-US" w:eastAsia="en-US" w:bidi="ar-SA"/>
              </w:rPr>
              <w:t>-5%</w:t>
            </w:r>
          </w:p>
        </w:tc>
        <w:tc>
          <w:tcPr>
            <w:tcW w:w="1277" w:type="dxa"/>
            <w:tcBorders/>
          </w:tcPr>
          <w:p>
            <w:pPr>
              <w:pStyle w:val="Normal"/>
              <w:widowControl w:val="false"/>
              <w:suppressAutoHyphens w:val="true"/>
              <w:spacing w:lineRule="auto" w:line="240" w:before="0" w:after="0"/>
              <w:jc w:val="left"/>
              <w:rPr>
                <w:color w:val="000000" w:themeColor="text1"/>
                <w:sz w:val="20"/>
              </w:rPr>
            </w:pPr>
            <w:r>
              <w:rPr>
                <w:rFonts w:eastAsia="Calibri" w:cs=""/>
                <w:color w:val="000000" w:themeColor="text1"/>
                <w:kern w:val="0"/>
                <w:sz w:val="20"/>
                <w:szCs w:val="22"/>
                <w:lang w:val="en-US" w:eastAsia="en-US" w:bidi="ar-SA"/>
              </w:rPr>
              <w:t>-10%</w:t>
            </w:r>
          </w:p>
        </w:tc>
        <w:tc>
          <w:tcPr>
            <w:tcW w:w="2257" w:type="dxa"/>
            <w:tcBorders/>
          </w:tcPr>
          <w:p>
            <w:pPr>
              <w:pStyle w:val="Normal"/>
              <w:widowControl w:val="false"/>
              <w:suppressAutoHyphens w:val="true"/>
              <w:spacing w:lineRule="auto" w:line="240" w:before="0" w:after="0"/>
              <w:jc w:val="left"/>
              <w:rPr>
                <w:color w:val="000000" w:themeColor="text1"/>
                <w:sz w:val="20"/>
              </w:rPr>
            </w:pPr>
            <w:r>
              <w:rPr>
                <w:rFonts w:eastAsia="Calibri" w:cs=""/>
                <w:color w:val="000000" w:themeColor="text1"/>
                <w:kern w:val="0"/>
                <w:sz w:val="20"/>
                <w:szCs w:val="22"/>
                <w:lang w:val="en-US" w:eastAsia="en-US" w:bidi="ar-SA"/>
              </w:rPr>
              <w:t> </w:t>
            </w:r>
          </w:p>
        </w:tc>
        <w:tc>
          <w:tcPr>
            <w:tcW w:w="984" w:type="dxa"/>
            <w:tcBorders/>
          </w:tcPr>
          <w:p>
            <w:pPr>
              <w:pStyle w:val="Normal"/>
              <w:widowControl w:val="false"/>
              <w:suppressAutoHyphens w:val="true"/>
              <w:spacing w:lineRule="auto" w:line="240" w:before="0" w:after="0"/>
              <w:jc w:val="left"/>
              <w:rPr>
                <w:color w:val="000000" w:themeColor="text1"/>
                <w:sz w:val="20"/>
              </w:rPr>
            </w:pPr>
            <w:r>
              <w:rPr>
                <w:rFonts w:eastAsia="Calibri" w:cs=""/>
                <w:color w:val="000000" w:themeColor="text1"/>
                <w:kern w:val="0"/>
                <w:sz w:val="20"/>
                <w:szCs w:val="22"/>
                <w:lang w:val="en-US" w:eastAsia="en-US" w:bidi="ar-SA"/>
              </w:rPr>
              <w:t> </w:t>
            </w:r>
          </w:p>
        </w:tc>
        <w:tc>
          <w:tcPr>
            <w:tcW w:w="1365" w:type="dxa"/>
            <w:tcBorders/>
          </w:tcPr>
          <w:p>
            <w:pPr>
              <w:pStyle w:val="Normal"/>
              <w:widowControl w:val="false"/>
              <w:suppressAutoHyphens w:val="true"/>
              <w:spacing w:lineRule="auto" w:line="240" w:before="0" w:after="0"/>
              <w:jc w:val="left"/>
              <w:rPr>
                <w:color w:val="000000" w:themeColor="text1"/>
                <w:sz w:val="20"/>
              </w:rPr>
            </w:pPr>
            <w:r>
              <w:rPr>
                <w:rFonts w:eastAsia="Calibri" w:cs=""/>
                <w:color w:val="000000" w:themeColor="text1"/>
                <w:kern w:val="0"/>
                <w:sz w:val="20"/>
                <w:szCs w:val="22"/>
                <w:lang w:val="en-US" w:eastAsia="en-US" w:bidi="ar-SA"/>
              </w:rPr>
              <w:t> </w:t>
            </w:r>
          </w:p>
        </w:tc>
        <w:tc>
          <w:tcPr>
            <w:tcW w:w="1260" w:type="dxa"/>
            <w:tcBorders/>
          </w:tcPr>
          <w:p>
            <w:pPr>
              <w:pStyle w:val="Normal"/>
              <w:widowControl w:val="false"/>
              <w:suppressAutoHyphens w:val="true"/>
              <w:spacing w:lineRule="auto" w:line="240" w:before="0" w:after="0"/>
              <w:jc w:val="left"/>
              <w:rPr>
                <w:color w:val="000000" w:themeColor="text1"/>
                <w:sz w:val="20"/>
              </w:rPr>
            </w:pPr>
            <w:r>
              <w:rPr>
                <w:rFonts w:eastAsia="Calibri" w:cs=""/>
                <w:color w:val="000000" w:themeColor="text1"/>
                <w:kern w:val="0"/>
                <w:sz w:val="20"/>
                <w:szCs w:val="22"/>
                <w:lang w:val="en-US" w:eastAsia="en-US" w:bidi="ar-SA"/>
              </w:rPr>
              <w:t>-5%</w:t>
            </w:r>
          </w:p>
        </w:tc>
        <w:tc>
          <w:tcPr>
            <w:tcW w:w="1260" w:type="dxa"/>
            <w:tcBorders/>
          </w:tcPr>
          <w:p>
            <w:pPr>
              <w:pStyle w:val="Normal"/>
              <w:widowControl w:val="false"/>
              <w:suppressAutoHyphens w:val="true"/>
              <w:spacing w:lineRule="auto" w:line="240" w:before="0" w:after="0"/>
              <w:jc w:val="left"/>
              <w:rPr>
                <w:color w:val="000000" w:themeColor="text1"/>
                <w:sz w:val="20"/>
              </w:rPr>
            </w:pPr>
            <w:r>
              <w:rPr>
                <w:rFonts w:eastAsia="Calibri" w:cs=""/>
                <w:color w:val="000000" w:themeColor="text1"/>
                <w:kern w:val="0"/>
                <w:sz w:val="20"/>
                <w:szCs w:val="22"/>
                <w:lang w:val="en-US" w:eastAsia="en-US" w:bidi="ar-SA"/>
              </w:rPr>
              <w:t>-10%</w:t>
            </w:r>
          </w:p>
        </w:tc>
        <w:tc>
          <w:tcPr>
            <w:tcW w:w="1259" w:type="dxa"/>
            <w:tcBorders/>
          </w:tcPr>
          <w:p>
            <w:pPr>
              <w:pStyle w:val="Normal"/>
              <w:widowControl w:val="false"/>
              <w:suppressAutoHyphens w:val="true"/>
              <w:spacing w:lineRule="auto" w:line="240" w:before="0" w:after="0"/>
              <w:jc w:val="left"/>
              <w:rPr>
                <w:color w:val="000000" w:themeColor="text1"/>
                <w:sz w:val="20"/>
              </w:rPr>
            </w:pPr>
            <w:r>
              <w:rPr>
                <w:rFonts w:eastAsia="Calibri" w:cs=""/>
                <w:color w:val="000000" w:themeColor="text1"/>
                <w:kern w:val="0"/>
                <w:sz w:val="20"/>
                <w:szCs w:val="22"/>
                <w:lang w:val="en-US" w:eastAsia="en-US" w:bidi="ar-SA"/>
              </w:rPr>
              <w:t>-20%</w:t>
            </w:r>
          </w:p>
        </w:tc>
      </w:tr>
      <w:tr>
        <w:trPr>
          <w:trHeight w:val="300" w:hRule="atLeast"/>
        </w:trPr>
        <w:tc>
          <w:tcPr>
            <w:tcW w:w="2244"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0 - 25,000.00 lei</w:t>
            </w:r>
          </w:p>
        </w:tc>
        <w:tc>
          <w:tcPr>
            <w:tcW w:w="1083"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28 zile</w:t>
            </w:r>
          </w:p>
        </w:tc>
        <w:tc>
          <w:tcPr>
            <w:tcW w:w="1438"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0,35%</w:t>
            </w:r>
          </w:p>
        </w:tc>
        <w:tc>
          <w:tcPr>
            <w:tcW w:w="1243"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1277"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2257"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0 - 10,000.00 lei</w:t>
            </w:r>
          </w:p>
        </w:tc>
        <w:tc>
          <w:tcPr>
            <w:tcW w:w="984"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14 zile</w:t>
            </w:r>
          </w:p>
        </w:tc>
        <w:tc>
          <w:tcPr>
            <w:tcW w:w="1365"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0,65%</w:t>
            </w:r>
          </w:p>
        </w:tc>
        <w:tc>
          <w:tcPr>
            <w:tcW w:w="1260"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1260"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1259"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r>
      <w:tr>
        <w:trPr>
          <w:trHeight w:val="300" w:hRule="atLeast"/>
        </w:trPr>
        <w:tc>
          <w:tcPr>
            <w:tcW w:w="2244"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0 - 899.99 lei</w:t>
            </w:r>
          </w:p>
        </w:tc>
        <w:tc>
          <w:tcPr>
            <w:tcW w:w="1083"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1438"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0,53%</w:t>
            </w:r>
          </w:p>
        </w:tc>
        <w:tc>
          <w:tcPr>
            <w:tcW w:w="1243"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0,50%</w:t>
            </w:r>
          </w:p>
        </w:tc>
        <w:tc>
          <w:tcPr>
            <w:tcW w:w="1277"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0,48%</w:t>
            </w:r>
          </w:p>
        </w:tc>
        <w:tc>
          <w:tcPr>
            <w:tcW w:w="2257"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0 - 399.99 lei</w:t>
            </w:r>
          </w:p>
        </w:tc>
        <w:tc>
          <w:tcPr>
            <w:tcW w:w="984"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1365"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0,95%</w:t>
            </w:r>
          </w:p>
        </w:tc>
        <w:tc>
          <w:tcPr>
            <w:tcW w:w="1260"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0,90%</w:t>
            </w:r>
          </w:p>
        </w:tc>
        <w:tc>
          <w:tcPr>
            <w:tcW w:w="1260"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0,86%</w:t>
            </w:r>
          </w:p>
        </w:tc>
        <w:tc>
          <w:tcPr>
            <w:tcW w:w="1259"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0,76%</w:t>
            </w:r>
          </w:p>
        </w:tc>
      </w:tr>
      <w:tr>
        <w:trPr>
          <w:trHeight w:val="300" w:hRule="atLeast"/>
        </w:trPr>
        <w:tc>
          <w:tcPr>
            <w:tcW w:w="2244"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900.00 - 1,699.99 lei</w:t>
            </w:r>
          </w:p>
        </w:tc>
        <w:tc>
          <w:tcPr>
            <w:tcW w:w="1083"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1438"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0,50%</w:t>
            </w:r>
          </w:p>
        </w:tc>
        <w:tc>
          <w:tcPr>
            <w:tcW w:w="1243"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0,48%</w:t>
            </w:r>
          </w:p>
        </w:tc>
        <w:tc>
          <w:tcPr>
            <w:tcW w:w="1277"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0,45%</w:t>
            </w:r>
          </w:p>
        </w:tc>
        <w:tc>
          <w:tcPr>
            <w:tcW w:w="2257"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400.00 - 599.99 lei</w:t>
            </w:r>
          </w:p>
        </w:tc>
        <w:tc>
          <w:tcPr>
            <w:tcW w:w="984"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1365"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0,90%</w:t>
            </w:r>
          </w:p>
        </w:tc>
        <w:tc>
          <w:tcPr>
            <w:tcW w:w="1260"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0,86%</w:t>
            </w:r>
          </w:p>
        </w:tc>
        <w:tc>
          <w:tcPr>
            <w:tcW w:w="1260"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0,81%</w:t>
            </w:r>
          </w:p>
        </w:tc>
        <w:tc>
          <w:tcPr>
            <w:tcW w:w="1259"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0,72%</w:t>
            </w:r>
          </w:p>
        </w:tc>
      </w:tr>
      <w:tr>
        <w:trPr>
          <w:trHeight w:val="300" w:hRule="atLeast"/>
        </w:trPr>
        <w:tc>
          <w:tcPr>
            <w:tcW w:w="2244"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1,700.00 - 4,599.99 lei</w:t>
            </w:r>
          </w:p>
        </w:tc>
        <w:tc>
          <w:tcPr>
            <w:tcW w:w="1083"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1438"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0,43%</w:t>
            </w:r>
          </w:p>
        </w:tc>
        <w:tc>
          <w:tcPr>
            <w:tcW w:w="1243"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0,41%</w:t>
            </w:r>
          </w:p>
        </w:tc>
        <w:tc>
          <w:tcPr>
            <w:tcW w:w="1277"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0,39%</w:t>
            </w:r>
          </w:p>
        </w:tc>
        <w:tc>
          <w:tcPr>
            <w:tcW w:w="2257"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600.00 - 1,199.99 lei</w:t>
            </w:r>
          </w:p>
        </w:tc>
        <w:tc>
          <w:tcPr>
            <w:tcW w:w="984"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1365"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0,85%</w:t>
            </w:r>
          </w:p>
        </w:tc>
        <w:tc>
          <w:tcPr>
            <w:tcW w:w="1260"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0,81%</w:t>
            </w:r>
          </w:p>
        </w:tc>
        <w:tc>
          <w:tcPr>
            <w:tcW w:w="1260"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0,77%</w:t>
            </w:r>
          </w:p>
        </w:tc>
        <w:tc>
          <w:tcPr>
            <w:tcW w:w="1259"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0,68%</w:t>
            </w:r>
          </w:p>
        </w:tc>
      </w:tr>
      <w:tr>
        <w:trPr>
          <w:trHeight w:val="300" w:hRule="atLeast"/>
        </w:trPr>
        <w:tc>
          <w:tcPr>
            <w:tcW w:w="2244"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4,600.00 - 25,000.00 lei</w:t>
            </w:r>
          </w:p>
        </w:tc>
        <w:tc>
          <w:tcPr>
            <w:tcW w:w="1083"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1438"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0,38%</w:t>
            </w:r>
          </w:p>
        </w:tc>
        <w:tc>
          <w:tcPr>
            <w:tcW w:w="1243"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0,36%</w:t>
            </w:r>
          </w:p>
        </w:tc>
        <w:tc>
          <w:tcPr>
            <w:tcW w:w="1277"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0,34%</w:t>
            </w:r>
          </w:p>
        </w:tc>
        <w:tc>
          <w:tcPr>
            <w:tcW w:w="2257"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1,200.00 - 4,499.99 lei</w:t>
            </w:r>
          </w:p>
        </w:tc>
        <w:tc>
          <w:tcPr>
            <w:tcW w:w="984"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1365"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0,75%</w:t>
            </w:r>
          </w:p>
        </w:tc>
        <w:tc>
          <w:tcPr>
            <w:tcW w:w="1260"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0,71%</w:t>
            </w:r>
          </w:p>
        </w:tc>
        <w:tc>
          <w:tcPr>
            <w:tcW w:w="1260"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0,68%</w:t>
            </w:r>
          </w:p>
        </w:tc>
        <w:tc>
          <w:tcPr>
            <w:tcW w:w="1259"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0,60%</w:t>
            </w:r>
          </w:p>
        </w:tc>
      </w:tr>
      <w:tr>
        <w:trPr>
          <w:trHeight w:val="300" w:hRule="atLeast"/>
        </w:trPr>
        <w:tc>
          <w:tcPr>
            <w:tcW w:w="2244"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xml:space="preserve">≥ </w:t>
            </w:r>
            <w:r>
              <w:rPr>
                <w:rFonts w:eastAsia="Calibri" w:cs=""/>
                <w:color w:val="000000" w:themeColor="text1"/>
                <w:kern w:val="0"/>
                <w:sz w:val="18"/>
                <w:szCs w:val="18"/>
                <w:lang w:val="en-US" w:eastAsia="en-US" w:bidi="ar-SA"/>
              </w:rPr>
              <w:t>100,001.00 lei</w:t>
            </w:r>
          </w:p>
        </w:tc>
        <w:tc>
          <w:tcPr>
            <w:tcW w:w="1083"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1438"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0,38%</w:t>
            </w:r>
          </w:p>
        </w:tc>
        <w:tc>
          <w:tcPr>
            <w:tcW w:w="1243"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0,36%</w:t>
            </w:r>
          </w:p>
        </w:tc>
        <w:tc>
          <w:tcPr>
            <w:tcW w:w="1277"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0,34%</w:t>
            </w:r>
          </w:p>
        </w:tc>
        <w:tc>
          <w:tcPr>
            <w:tcW w:w="2257"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4,500.00 - 25,000.00 lei</w:t>
            </w:r>
          </w:p>
        </w:tc>
        <w:tc>
          <w:tcPr>
            <w:tcW w:w="984"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1365"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0,60%</w:t>
            </w:r>
          </w:p>
        </w:tc>
        <w:tc>
          <w:tcPr>
            <w:tcW w:w="1260"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0,57%</w:t>
            </w:r>
          </w:p>
        </w:tc>
        <w:tc>
          <w:tcPr>
            <w:tcW w:w="1260"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0,54%</w:t>
            </w:r>
          </w:p>
        </w:tc>
        <w:tc>
          <w:tcPr>
            <w:tcW w:w="1259"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0,48%</w:t>
            </w:r>
          </w:p>
        </w:tc>
      </w:tr>
      <w:tr>
        <w:trPr>
          <w:trHeight w:val="485" w:hRule="atLeast"/>
        </w:trPr>
        <w:tc>
          <w:tcPr>
            <w:tcW w:w="2244" w:type="dxa"/>
            <w:tcBorders/>
          </w:tcPr>
          <w:p>
            <w:pPr>
              <w:pStyle w:val="Normal"/>
              <w:widowControl w:val="false"/>
              <w:suppressAutoHyphens w:val="true"/>
              <w:spacing w:lineRule="auto" w:line="240" w:before="0" w:after="0"/>
              <w:jc w:val="left"/>
              <w:rPr>
                <w:color w:val="000000" w:themeColor="text1"/>
                <w:sz w:val="18"/>
                <w:szCs w:val="18"/>
              </w:rPr>
            </w:pPr>
            <w:r>
              <w:rPr>
                <w:color w:val="000000" w:themeColor="text1"/>
                <w:sz w:val="18"/>
                <w:szCs w:val="18"/>
              </w:rPr>
            </w:r>
          </w:p>
        </w:tc>
        <w:tc>
          <w:tcPr>
            <w:tcW w:w="1083"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1438" w:type="dxa"/>
            <w:tcBorders/>
          </w:tcPr>
          <w:p>
            <w:pPr>
              <w:pStyle w:val="Normal"/>
              <w:widowControl w:val="false"/>
              <w:suppressAutoHyphens w:val="true"/>
              <w:spacing w:lineRule="auto" w:line="240" w:before="0" w:after="0"/>
              <w:jc w:val="left"/>
              <w:rPr>
                <w:color w:val="000000" w:themeColor="text1"/>
                <w:sz w:val="18"/>
                <w:szCs w:val="18"/>
              </w:rPr>
            </w:pPr>
            <w:r>
              <w:rPr>
                <w:color w:val="000000" w:themeColor="text1"/>
                <w:sz w:val="18"/>
                <w:szCs w:val="18"/>
              </w:rPr>
            </w:r>
          </w:p>
        </w:tc>
        <w:tc>
          <w:tcPr>
            <w:tcW w:w="1243" w:type="dxa"/>
            <w:tcBorders/>
          </w:tcPr>
          <w:p>
            <w:pPr>
              <w:pStyle w:val="Normal"/>
              <w:widowControl w:val="false"/>
              <w:suppressAutoHyphens w:val="true"/>
              <w:spacing w:lineRule="auto" w:line="240" w:before="0" w:after="0"/>
              <w:jc w:val="left"/>
              <w:rPr>
                <w:color w:val="000000" w:themeColor="text1"/>
                <w:sz w:val="18"/>
                <w:szCs w:val="18"/>
              </w:rPr>
            </w:pPr>
            <w:r>
              <w:rPr>
                <w:color w:val="000000" w:themeColor="text1"/>
                <w:sz w:val="18"/>
                <w:szCs w:val="18"/>
              </w:rPr>
            </w:r>
          </w:p>
        </w:tc>
        <w:tc>
          <w:tcPr>
            <w:tcW w:w="1277" w:type="dxa"/>
            <w:tcBorders/>
          </w:tcPr>
          <w:p>
            <w:pPr>
              <w:pStyle w:val="Normal"/>
              <w:widowControl w:val="false"/>
              <w:suppressAutoHyphens w:val="true"/>
              <w:spacing w:lineRule="auto" w:line="240" w:before="0" w:after="0"/>
              <w:jc w:val="left"/>
              <w:rPr>
                <w:color w:val="000000" w:themeColor="text1"/>
                <w:sz w:val="18"/>
                <w:szCs w:val="18"/>
              </w:rPr>
            </w:pPr>
            <w:r>
              <w:rPr>
                <w:color w:val="000000" w:themeColor="text1"/>
                <w:sz w:val="18"/>
                <w:szCs w:val="18"/>
              </w:rPr>
            </w:r>
          </w:p>
        </w:tc>
        <w:tc>
          <w:tcPr>
            <w:tcW w:w="2257"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xml:space="preserve">≥ </w:t>
            </w:r>
            <w:r>
              <w:rPr>
                <w:rFonts w:eastAsia="Calibri" w:cs=""/>
                <w:color w:val="000000" w:themeColor="text1"/>
                <w:kern w:val="0"/>
                <w:sz w:val="18"/>
                <w:szCs w:val="18"/>
                <w:lang w:val="en-US" w:eastAsia="en-US" w:bidi="ar-SA"/>
              </w:rPr>
              <w:t>100.001,00 lei</w:t>
            </w:r>
          </w:p>
        </w:tc>
        <w:tc>
          <w:tcPr>
            <w:tcW w:w="984"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 </w:t>
            </w:r>
          </w:p>
        </w:tc>
        <w:tc>
          <w:tcPr>
            <w:tcW w:w="1365"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0,60%</w:t>
            </w:r>
          </w:p>
        </w:tc>
        <w:tc>
          <w:tcPr>
            <w:tcW w:w="1260"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0,57%</w:t>
            </w:r>
          </w:p>
        </w:tc>
        <w:tc>
          <w:tcPr>
            <w:tcW w:w="1260"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0,54%</w:t>
            </w:r>
          </w:p>
        </w:tc>
        <w:tc>
          <w:tcPr>
            <w:tcW w:w="1259" w:type="dxa"/>
            <w:tcBorders/>
          </w:tcPr>
          <w:p>
            <w:pPr>
              <w:pStyle w:val="Normal"/>
              <w:widowControl w:val="false"/>
              <w:suppressAutoHyphens w:val="true"/>
              <w:spacing w:lineRule="auto" w:line="240" w:before="0" w:after="0"/>
              <w:jc w:val="left"/>
              <w:rPr>
                <w:color w:val="000000" w:themeColor="text1"/>
                <w:sz w:val="18"/>
                <w:szCs w:val="18"/>
              </w:rPr>
            </w:pPr>
            <w:r>
              <w:rPr>
                <w:rFonts w:eastAsia="Calibri" w:cs=""/>
                <w:color w:val="000000" w:themeColor="text1"/>
                <w:kern w:val="0"/>
                <w:sz w:val="18"/>
                <w:szCs w:val="18"/>
                <w:lang w:val="en-US" w:eastAsia="en-US" w:bidi="ar-SA"/>
              </w:rPr>
              <w:t>0,48%</w:t>
            </w:r>
          </w:p>
        </w:tc>
      </w:tr>
      <w:tr>
        <w:trPr>
          <w:trHeight w:val="289" w:hRule="atLeast"/>
        </w:trPr>
        <w:tc>
          <w:tcPr>
            <w:tcW w:w="15670" w:type="dxa"/>
            <w:gridSpan w:val="11"/>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Clienții fideli 1 care au achitat comisioane de minim 500 de lei în decursul ultimului an anterior datei contractului beneficiază de o reducere de 5% la comision.</w:t>
            </w:r>
          </w:p>
        </w:tc>
      </w:tr>
      <w:tr>
        <w:trPr>
          <w:trHeight w:val="289" w:hRule="atLeast"/>
        </w:trPr>
        <w:tc>
          <w:tcPr>
            <w:tcW w:w="15670" w:type="dxa"/>
            <w:gridSpan w:val="11"/>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Clienții fideli 2 care au achitat comisioane de minim 1,000 de lei în decursul ultimului an anterior datei contractului  beneficiază de o reducere de 10% la comision.</w:t>
            </w:r>
          </w:p>
        </w:tc>
      </w:tr>
      <w:tr>
        <w:trPr>
          <w:trHeight w:val="289" w:hRule="atLeast"/>
        </w:trPr>
        <w:tc>
          <w:tcPr>
            <w:tcW w:w="15670" w:type="dxa"/>
            <w:gridSpan w:val="11"/>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xml:space="preserve">Clienții fideli 3 care au achitat comisioane de minim 2,000 de lei în decursul ultimului an anterior datei contractului beneficiază de o reducere de 20% la comision. </w:t>
            </w:r>
          </w:p>
        </w:tc>
      </w:tr>
      <w:tr>
        <w:trPr>
          <w:trHeight w:val="300" w:hRule="atLeast"/>
        </w:trPr>
        <w:tc>
          <w:tcPr>
            <w:tcW w:w="15670" w:type="dxa"/>
            <w:gridSpan w:val="11"/>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Clienții fideli 2 și 3 beneficiază de reducere 5% la cumpărături.</w:t>
            </w:r>
          </w:p>
        </w:tc>
      </w:tr>
      <w:tr>
        <w:trPr>
          <w:trHeight w:val="315" w:hRule="atLeast"/>
        </w:trPr>
        <w:tc>
          <w:tcPr>
            <w:tcW w:w="15670" w:type="dxa"/>
            <w:gridSpan w:val="11"/>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Pentru contractele care au comision fix, indiferent de suma de împrumut, această grilă nu se aplică.</w:t>
            </w:r>
          </w:p>
        </w:tc>
      </w:tr>
      <w:tr>
        <w:trPr>
          <w:trHeight w:val="300" w:hRule="atLeast"/>
        </w:trPr>
        <w:tc>
          <w:tcPr>
            <w:tcW w:w="7285" w:type="dxa"/>
            <w:gridSpan w:val="5"/>
            <w:tcBorders/>
          </w:tcPr>
          <w:p>
            <w:pPr>
              <w:pStyle w:val="Normal"/>
              <w:widowControl w:val="false"/>
              <w:suppressAutoHyphens w:val="true"/>
              <w:spacing w:lineRule="auto" w:line="240" w:before="0" w:after="0"/>
              <w:jc w:val="left"/>
              <w:rPr>
                <w:b/>
                <w:b/>
                <w:bCs/>
                <w:color w:val="000000" w:themeColor="text1"/>
                <w:sz w:val="18"/>
              </w:rPr>
            </w:pPr>
            <w:r>
              <w:rPr>
                <w:rFonts w:eastAsia="Calibri" w:cs=""/>
                <w:b/>
                <w:bCs/>
                <w:color w:val="000000" w:themeColor="text1"/>
                <w:kern w:val="0"/>
                <w:sz w:val="18"/>
                <w:szCs w:val="22"/>
                <w:lang w:val="en-US" w:eastAsia="en-US" w:bidi="ar-SA"/>
              </w:rPr>
              <w:t>Grila de comisionare - Auto</w:t>
            </w:r>
          </w:p>
        </w:tc>
        <w:tc>
          <w:tcPr>
            <w:tcW w:w="2257" w:type="dxa"/>
            <w:tcBorders/>
          </w:tcPr>
          <w:p>
            <w:pPr>
              <w:pStyle w:val="Normal"/>
              <w:widowControl w:val="false"/>
              <w:suppressAutoHyphens w:val="true"/>
              <w:spacing w:lineRule="auto" w:line="240" w:before="0" w:after="0"/>
              <w:jc w:val="left"/>
              <w:rPr>
                <w:b/>
                <w:b/>
                <w:bCs/>
                <w:color w:val="000000" w:themeColor="text1"/>
                <w:sz w:val="14"/>
              </w:rPr>
            </w:pPr>
            <w:r>
              <w:rPr>
                <w:b/>
                <w:bCs/>
                <w:color w:val="000000" w:themeColor="text1"/>
                <w:sz w:val="14"/>
              </w:rPr>
            </w:r>
          </w:p>
        </w:tc>
        <w:tc>
          <w:tcPr>
            <w:tcW w:w="984" w:type="dxa"/>
            <w:tcBorders/>
          </w:tcPr>
          <w:p>
            <w:pPr>
              <w:pStyle w:val="Normal"/>
              <w:widowControl w:val="false"/>
              <w:suppressAutoHyphens w:val="true"/>
              <w:spacing w:lineRule="auto" w:line="240" w:before="0" w:after="0"/>
              <w:jc w:val="left"/>
              <w:rPr>
                <w:color w:val="000000" w:themeColor="text1"/>
                <w:sz w:val="14"/>
              </w:rPr>
            </w:pPr>
            <w:r>
              <w:rPr>
                <w:color w:val="000000" w:themeColor="text1"/>
                <w:sz w:val="14"/>
              </w:rPr>
            </w:r>
          </w:p>
        </w:tc>
        <w:tc>
          <w:tcPr>
            <w:tcW w:w="1365" w:type="dxa"/>
            <w:tcBorders/>
          </w:tcPr>
          <w:p>
            <w:pPr>
              <w:pStyle w:val="Normal"/>
              <w:widowControl w:val="false"/>
              <w:suppressAutoHyphens w:val="true"/>
              <w:spacing w:lineRule="auto" w:line="240" w:before="0" w:after="0"/>
              <w:jc w:val="left"/>
              <w:rPr>
                <w:color w:val="000000" w:themeColor="text1"/>
                <w:sz w:val="14"/>
              </w:rPr>
            </w:pPr>
            <w:r>
              <w:rPr>
                <w:color w:val="000000" w:themeColor="text1"/>
                <w:sz w:val="14"/>
              </w:rPr>
            </w:r>
          </w:p>
        </w:tc>
        <w:tc>
          <w:tcPr>
            <w:tcW w:w="1260" w:type="dxa"/>
            <w:tcBorders/>
          </w:tcPr>
          <w:p>
            <w:pPr>
              <w:pStyle w:val="Normal"/>
              <w:widowControl w:val="false"/>
              <w:suppressAutoHyphens w:val="true"/>
              <w:spacing w:lineRule="auto" w:line="240" w:before="0" w:after="0"/>
              <w:jc w:val="left"/>
              <w:rPr>
                <w:color w:val="000000" w:themeColor="text1"/>
                <w:sz w:val="14"/>
              </w:rPr>
            </w:pPr>
            <w:r>
              <w:rPr>
                <w:color w:val="000000" w:themeColor="text1"/>
                <w:sz w:val="14"/>
              </w:rPr>
            </w:r>
          </w:p>
        </w:tc>
        <w:tc>
          <w:tcPr>
            <w:tcW w:w="1260" w:type="dxa"/>
            <w:tcBorders/>
          </w:tcPr>
          <w:p>
            <w:pPr>
              <w:pStyle w:val="Normal"/>
              <w:widowControl w:val="false"/>
              <w:suppressAutoHyphens w:val="true"/>
              <w:spacing w:lineRule="auto" w:line="240" w:before="0" w:after="0"/>
              <w:jc w:val="left"/>
              <w:rPr>
                <w:color w:val="000000" w:themeColor="text1"/>
                <w:sz w:val="14"/>
              </w:rPr>
            </w:pPr>
            <w:r>
              <w:rPr>
                <w:color w:val="000000" w:themeColor="text1"/>
                <w:sz w:val="14"/>
              </w:rPr>
            </w:r>
          </w:p>
        </w:tc>
        <w:tc>
          <w:tcPr>
            <w:tcW w:w="1259" w:type="dxa"/>
            <w:tcBorders/>
          </w:tcPr>
          <w:p>
            <w:pPr>
              <w:pStyle w:val="Normal"/>
              <w:widowControl w:val="false"/>
              <w:suppressAutoHyphens w:val="true"/>
              <w:spacing w:lineRule="auto" w:line="240" w:before="0" w:after="0"/>
              <w:jc w:val="left"/>
              <w:rPr>
                <w:color w:val="000000" w:themeColor="text1"/>
                <w:sz w:val="14"/>
              </w:rPr>
            </w:pPr>
            <w:r>
              <w:rPr>
                <w:color w:val="000000" w:themeColor="text1"/>
                <w:sz w:val="14"/>
              </w:rPr>
            </w:r>
          </w:p>
        </w:tc>
      </w:tr>
      <w:tr>
        <w:trPr>
          <w:trHeight w:val="300" w:hRule="atLeast"/>
        </w:trPr>
        <w:tc>
          <w:tcPr>
            <w:tcW w:w="2244"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0 – 25,000.00 lei</w:t>
            </w:r>
          </w:p>
        </w:tc>
        <w:tc>
          <w:tcPr>
            <w:tcW w:w="1083"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15 zile</w:t>
            </w:r>
          </w:p>
        </w:tc>
        <w:tc>
          <w:tcPr>
            <w:tcW w:w="1438"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0,40%</w:t>
            </w:r>
          </w:p>
        </w:tc>
        <w:tc>
          <w:tcPr>
            <w:tcW w:w="1243"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w:t>
            </w:r>
          </w:p>
        </w:tc>
        <w:tc>
          <w:tcPr>
            <w:tcW w:w="1277"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w:t>
            </w:r>
          </w:p>
        </w:tc>
        <w:tc>
          <w:tcPr>
            <w:tcW w:w="2257" w:type="dxa"/>
            <w:tcBorders/>
          </w:tcPr>
          <w:p>
            <w:pPr>
              <w:pStyle w:val="Normal"/>
              <w:widowControl w:val="false"/>
              <w:suppressAutoHyphens w:val="true"/>
              <w:spacing w:lineRule="auto" w:line="240" w:before="0" w:after="0"/>
              <w:jc w:val="left"/>
              <w:rPr>
                <w:color w:val="000000" w:themeColor="text1"/>
                <w:sz w:val="18"/>
              </w:rPr>
            </w:pPr>
            <w:r>
              <w:rPr>
                <w:color w:val="000000" w:themeColor="text1"/>
                <w:sz w:val="18"/>
              </w:rPr>
            </w:r>
          </w:p>
        </w:tc>
        <w:tc>
          <w:tcPr>
            <w:tcW w:w="984" w:type="dxa"/>
            <w:tcBorders/>
          </w:tcPr>
          <w:p>
            <w:pPr>
              <w:pStyle w:val="Normal"/>
              <w:widowControl w:val="false"/>
              <w:suppressAutoHyphens w:val="true"/>
              <w:spacing w:lineRule="auto" w:line="240" w:before="0" w:after="0"/>
              <w:jc w:val="left"/>
              <w:rPr>
                <w:color w:val="000000" w:themeColor="text1"/>
                <w:sz w:val="18"/>
              </w:rPr>
            </w:pPr>
            <w:r>
              <w:rPr>
                <w:color w:val="000000" w:themeColor="text1"/>
                <w:sz w:val="18"/>
              </w:rPr>
            </w:r>
          </w:p>
        </w:tc>
        <w:tc>
          <w:tcPr>
            <w:tcW w:w="1365" w:type="dxa"/>
            <w:tcBorders/>
          </w:tcPr>
          <w:p>
            <w:pPr>
              <w:pStyle w:val="Normal"/>
              <w:widowControl w:val="false"/>
              <w:suppressAutoHyphens w:val="true"/>
              <w:spacing w:lineRule="auto" w:line="240" w:before="0" w:after="0"/>
              <w:jc w:val="left"/>
              <w:rPr>
                <w:color w:val="000000" w:themeColor="text1"/>
                <w:sz w:val="18"/>
              </w:rPr>
            </w:pPr>
            <w:r>
              <w:rPr>
                <w:color w:val="000000" w:themeColor="text1"/>
                <w:sz w:val="18"/>
              </w:rPr>
            </w:r>
          </w:p>
        </w:tc>
        <w:tc>
          <w:tcPr>
            <w:tcW w:w="1260" w:type="dxa"/>
            <w:tcBorders/>
          </w:tcPr>
          <w:p>
            <w:pPr>
              <w:pStyle w:val="Normal"/>
              <w:widowControl w:val="false"/>
              <w:suppressAutoHyphens w:val="true"/>
              <w:spacing w:lineRule="auto" w:line="240" w:before="0" w:after="0"/>
              <w:jc w:val="left"/>
              <w:rPr>
                <w:color w:val="000000" w:themeColor="text1"/>
                <w:sz w:val="18"/>
              </w:rPr>
            </w:pPr>
            <w:r>
              <w:rPr>
                <w:color w:val="000000" w:themeColor="text1"/>
                <w:sz w:val="18"/>
              </w:rPr>
            </w:r>
          </w:p>
        </w:tc>
        <w:tc>
          <w:tcPr>
            <w:tcW w:w="1260" w:type="dxa"/>
            <w:tcBorders/>
          </w:tcPr>
          <w:p>
            <w:pPr>
              <w:pStyle w:val="Normal"/>
              <w:widowControl w:val="false"/>
              <w:suppressAutoHyphens w:val="true"/>
              <w:spacing w:lineRule="auto" w:line="240" w:before="0" w:after="0"/>
              <w:jc w:val="left"/>
              <w:rPr>
                <w:color w:val="000000" w:themeColor="text1"/>
                <w:sz w:val="18"/>
              </w:rPr>
            </w:pPr>
            <w:r>
              <w:rPr>
                <w:color w:val="000000" w:themeColor="text1"/>
                <w:sz w:val="18"/>
              </w:rPr>
            </w:r>
          </w:p>
        </w:tc>
        <w:tc>
          <w:tcPr>
            <w:tcW w:w="1259" w:type="dxa"/>
            <w:tcBorders/>
          </w:tcPr>
          <w:p>
            <w:pPr>
              <w:pStyle w:val="Normal"/>
              <w:widowControl w:val="false"/>
              <w:suppressAutoHyphens w:val="true"/>
              <w:spacing w:lineRule="auto" w:line="240" w:before="0" w:after="0"/>
              <w:jc w:val="left"/>
              <w:rPr>
                <w:color w:val="000000" w:themeColor="text1"/>
                <w:sz w:val="18"/>
              </w:rPr>
            </w:pPr>
            <w:r>
              <w:rPr>
                <w:color w:val="000000" w:themeColor="text1"/>
                <w:sz w:val="18"/>
              </w:rPr>
            </w:r>
          </w:p>
        </w:tc>
      </w:tr>
      <w:tr>
        <w:trPr>
          <w:trHeight w:val="315" w:hRule="atLeast"/>
        </w:trPr>
        <w:tc>
          <w:tcPr>
            <w:tcW w:w="2244"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w:t>
            </w:r>
            <w:r>
              <w:rPr>
                <w:rFonts w:eastAsia="Calibri" w:cs=""/>
                <w:color w:val="000000" w:themeColor="text1"/>
                <w:kern w:val="0"/>
                <w:sz w:val="18"/>
                <w:szCs w:val="22"/>
                <w:lang w:val="en-US" w:eastAsia="en-US" w:bidi="ar-SA"/>
              </w:rPr>
              <w:t>100,001.00 lei</w:t>
            </w:r>
          </w:p>
        </w:tc>
        <w:tc>
          <w:tcPr>
            <w:tcW w:w="1083"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15 zile</w:t>
            </w:r>
          </w:p>
        </w:tc>
        <w:tc>
          <w:tcPr>
            <w:tcW w:w="1438"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0,40%</w:t>
            </w:r>
          </w:p>
        </w:tc>
        <w:tc>
          <w:tcPr>
            <w:tcW w:w="1243"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w:t>
            </w:r>
          </w:p>
        </w:tc>
        <w:tc>
          <w:tcPr>
            <w:tcW w:w="1277" w:type="dxa"/>
            <w:tcBorders/>
          </w:tcPr>
          <w:p>
            <w:pPr>
              <w:pStyle w:val="Normal"/>
              <w:widowControl w:val="false"/>
              <w:suppressAutoHyphens w:val="true"/>
              <w:spacing w:lineRule="auto" w:line="240" w:before="0" w:after="0"/>
              <w:jc w:val="left"/>
              <w:rPr>
                <w:color w:val="000000" w:themeColor="text1"/>
                <w:sz w:val="18"/>
              </w:rPr>
            </w:pPr>
            <w:r>
              <w:rPr>
                <w:rFonts w:eastAsia="Calibri" w:cs=""/>
                <w:color w:val="000000" w:themeColor="text1"/>
                <w:kern w:val="0"/>
                <w:sz w:val="18"/>
                <w:szCs w:val="22"/>
                <w:lang w:val="en-US" w:eastAsia="en-US" w:bidi="ar-SA"/>
              </w:rPr>
              <w:t> </w:t>
            </w:r>
          </w:p>
        </w:tc>
        <w:tc>
          <w:tcPr>
            <w:tcW w:w="2257" w:type="dxa"/>
            <w:tcBorders/>
          </w:tcPr>
          <w:p>
            <w:pPr>
              <w:pStyle w:val="Normal"/>
              <w:widowControl w:val="false"/>
              <w:suppressAutoHyphens w:val="true"/>
              <w:spacing w:lineRule="auto" w:line="240" w:before="0" w:after="0"/>
              <w:jc w:val="left"/>
              <w:rPr>
                <w:color w:val="000000" w:themeColor="text1"/>
                <w:sz w:val="18"/>
              </w:rPr>
            </w:pPr>
            <w:r>
              <w:rPr>
                <w:color w:val="000000" w:themeColor="text1"/>
                <w:sz w:val="18"/>
              </w:rPr>
            </w:r>
          </w:p>
        </w:tc>
        <w:tc>
          <w:tcPr>
            <w:tcW w:w="984" w:type="dxa"/>
            <w:tcBorders/>
          </w:tcPr>
          <w:p>
            <w:pPr>
              <w:pStyle w:val="Normal"/>
              <w:widowControl w:val="false"/>
              <w:suppressAutoHyphens w:val="true"/>
              <w:spacing w:lineRule="auto" w:line="240" w:before="0" w:after="0"/>
              <w:jc w:val="left"/>
              <w:rPr>
                <w:color w:val="000000" w:themeColor="text1"/>
                <w:sz w:val="18"/>
              </w:rPr>
            </w:pPr>
            <w:r>
              <w:rPr>
                <w:color w:val="000000" w:themeColor="text1"/>
                <w:sz w:val="18"/>
              </w:rPr>
            </w:r>
          </w:p>
        </w:tc>
        <w:tc>
          <w:tcPr>
            <w:tcW w:w="1365" w:type="dxa"/>
            <w:tcBorders/>
          </w:tcPr>
          <w:p>
            <w:pPr>
              <w:pStyle w:val="Normal"/>
              <w:widowControl w:val="false"/>
              <w:suppressAutoHyphens w:val="true"/>
              <w:spacing w:lineRule="auto" w:line="240" w:before="0" w:after="0"/>
              <w:jc w:val="left"/>
              <w:rPr>
                <w:color w:val="000000" w:themeColor="text1"/>
                <w:sz w:val="18"/>
              </w:rPr>
            </w:pPr>
            <w:r>
              <w:rPr>
                <w:color w:val="000000" w:themeColor="text1"/>
                <w:sz w:val="18"/>
              </w:rPr>
            </w:r>
          </w:p>
        </w:tc>
        <w:tc>
          <w:tcPr>
            <w:tcW w:w="1260" w:type="dxa"/>
            <w:tcBorders/>
          </w:tcPr>
          <w:p>
            <w:pPr>
              <w:pStyle w:val="Normal"/>
              <w:widowControl w:val="false"/>
              <w:suppressAutoHyphens w:val="true"/>
              <w:spacing w:lineRule="auto" w:line="240" w:before="0" w:after="0"/>
              <w:jc w:val="left"/>
              <w:rPr>
                <w:color w:val="000000" w:themeColor="text1"/>
                <w:sz w:val="18"/>
              </w:rPr>
            </w:pPr>
            <w:r>
              <w:rPr>
                <w:color w:val="000000" w:themeColor="text1"/>
                <w:sz w:val="18"/>
              </w:rPr>
            </w:r>
          </w:p>
        </w:tc>
        <w:tc>
          <w:tcPr>
            <w:tcW w:w="1260" w:type="dxa"/>
            <w:tcBorders/>
          </w:tcPr>
          <w:p>
            <w:pPr>
              <w:pStyle w:val="Normal"/>
              <w:widowControl w:val="false"/>
              <w:suppressAutoHyphens w:val="true"/>
              <w:spacing w:lineRule="auto" w:line="240" w:before="0" w:after="0"/>
              <w:jc w:val="left"/>
              <w:rPr>
                <w:color w:val="000000" w:themeColor="text1"/>
                <w:sz w:val="18"/>
              </w:rPr>
            </w:pPr>
            <w:r>
              <w:rPr>
                <w:color w:val="000000" w:themeColor="text1"/>
                <w:sz w:val="18"/>
              </w:rPr>
            </w:r>
          </w:p>
        </w:tc>
        <w:tc>
          <w:tcPr>
            <w:tcW w:w="1259" w:type="dxa"/>
            <w:tcBorders/>
          </w:tcPr>
          <w:p>
            <w:pPr>
              <w:pStyle w:val="Normal"/>
              <w:widowControl w:val="false"/>
              <w:suppressAutoHyphens w:val="true"/>
              <w:spacing w:lineRule="auto" w:line="240" w:before="0" w:after="0"/>
              <w:jc w:val="left"/>
              <w:rPr>
                <w:color w:val="000000" w:themeColor="text1"/>
                <w:sz w:val="18"/>
              </w:rPr>
            </w:pPr>
            <w:r>
              <w:rPr>
                <w:color w:val="000000" w:themeColor="text1"/>
                <w:sz w:val="18"/>
              </w:rPr>
            </w:r>
          </w:p>
        </w:tc>
      </w:tr>
    </w:tbl>
    <w:p>
      <w:pPr>
        <w:sectPr>
          <w:headerReference w:type="default" r:id="rId6"/>
          <w:footerReference w:type="default" r:id="rId7"/>
          <w:type w:val="nextPage"/>
          <w:pgSz w:orient="landscape" w:w="16838" w:h="11906"/>
          <w:pgMar w:left="720" w:right="720" w:header="720" w:top="777" w:footer="720" w:bottom="777" w:gutter="0"/>
          <w:pgNumType w:fmt="decimal"/>
          <w:formProt w:val="false"/>
          <w:textDirection w:val="lrTb"/>
          <w:docGrid w:type="default" w:linePitch="360" w:charSpace="4096"/>
        </w:sectPr>
        <w:pStyle w:val="Normal"/>
        <w:rPr>
          <w:rFonts w:ascii="Times New Roman" w:hAnsi="Times New Roman" w:cs="Times New Roman"/>
          <w:sz w:val="24"/>
          <w:szCs w:val="24"/>
        </w:rPr>
      </w:pPr>
      <w:r>
        <w:rPr>
          <w:rFonts w:cs="Times New Roman" w:ascii="Times New Roman" w:hAnsi="Times New Roman"/>
          <w:sz w:val="24"/>
          <w:szCs w:val="24"/>
        </w:rPr>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t>V. Răspunderi și garanții</w:t>
      </w:r>
    </w:p>
    <w:p>
      <w:pPr>
        <w:pStyle w:val="Normal"/>
        <w:jc w:val="both"/>
        <w:rPr>
          <w:rFonts w:ascii="Times New Roman" w:hAnsi="Times New Roman" w:cs="Times New Roman"/>
          <w:sz w:val="24"/>
          <w:szCs w:val="24"/>
        </w:rPr>
      </w:pPr>
      <w:r>
        <w:rPr>
          <w:rFonts w:cs="Times New Roman" w:ascii="Times New Roman" w:hAnsi="Times New Roman"/>
          <w:sz w:val="24"/>
          <w:szCs w:val="24"/>
        </w:rPr>
        <w:t xml:space="preserve">4.1. </w:t>
      </w:r>
      <w:r>
        <w:rPr>
          <w:rFonts w:cs="Times New Roman" w:ascii="Times New Roman" w:hAnsi="Times New Roman"/>
          <w:sz w:val="24"/>
          <w:szCs w:val="24"/>
          <w:lang w:val="en-GB"/>
        </w:rPr>
        <w:t>Î</w:t>
      </w:r>
      <w:r>
        <w:rPr>
          <w:rFonts w:cs="Times New Roman" w:ascii="Times New Roman" w:hAnsi="Times New Roman"/>
          <w:sz w:val="24"/>
          <w:szCs w:val="24"/>
        </w:rPr>
        <w:t>n calitate de Client, declarați și garantați că datele pe care ni le furnizați sunt corecte și reale, fiind singurul răspunzător pentru acestea. Pe lângă garanțiile anterioare, declarați în mod expres că sunteți proprietarul bunului sau că aveți dreptul de a transmite dreptul de proprietate asupra lui către orice altă persoană, nu a fost obținut ca urmare a săvârșirii unei infracțiuni și nu face obiectul vreunui litigiu.</w:t>
      </w:r>
    </w:p>
    <w:p>
      <w:pPr>
        <w:pStyle w:val="Normal"/>
        <w:tabs>
          <w:tab w:val="clear" w:pos="720"/>
          <w:tab w:val="left" w:pos="0" w:leader="none"/>
        </w:tabs>
        <w:spacing w:before="0" w:after="196"/>
        <w:ind w:left="-5" w:hanging="10"/>
        <w:jc w:val="both"/>
        <w:rPr>
          <w:rFonts w:ascii="Times New Roman" w:hAnsi="Times New Roman" w:cs="Times New Roman"/>
          <w:sz w:val="24"/>
          <w:szCs w:val="24"/>
        </w:rPr>
      </w:pPr>
      <w:r>
        <w:rPr>
          <w:rFonts w:cs="Times New Roman" w:ascii="Times New Roman" w:hAnsi="Times New Roman"/>
          <w:sz w:val="24"/>
          <w:szCs w:val="24"/>
        </w:rPr>
      </w:r>
    </w:p>
    <w:p>
      <w:pPr>
        <w:pStyle w:val="Heading1"/>
        <w:numPr>
          <w:ilvl w:val="0"/>
          <w:numId w:val="4"/>
        </w:numPr>
        <w:tabs>
          <w:tab w:val="clear" w:pos="720"/>
          <w:tab w:val="left" w:pos="360" w:leader="none"/>
        </w:tabs>
        <w:spacing w:before="0" w:after="196"/>
        <w:ind w:left="-5" w:hanging="10"/>
        <w:jc w:val="both"/>
        <w:rPr>
          <w:rFonts w:ascii="Times New Roman" w:hAnsi="Times New Roman" w:cs="Times New Roman"/>
          <w:szCs w:val="24"/>
        </w:rPr>
      </w:pPr>
      <w:r>
        <w:rPr>
          <w:rFonts w:cs="Times New Roman" w:ascii="Times New Roman" w:hAnsi="Times New Roman"/>
          <w:bCs/>
          <w:szCs w:val="24"/>
        </w:rPr>
        <w:t xml:space="preserve">VI. Forma și conținutul contractului </w:t>
      </w:r>
      <w:r>
        <w:rPr>
          <w:rFonts w:cs="Times New Roman" w:ascii="Times New Roman" w:hAnsi="Times New Roman"/>
          <w:szCs w:val="24"/>
        </w:rPr>
        <w:t xml:space="preserve">de împrumut cu amanet </w:t>
      </w:r>
      <w:r>
        <w:rPr>
          <w:rFonts w:cs="Times New Roman" w:ascii="Times New Roman" w:hAnsi="Times New Roman"/>
          <w:szCs w:val="24"/>
          <w:lang w:val="ro-RO"/>
        </w:rPr>
        <w:t>încheiat la distanță</w:t>
      </w:r>
    </w:p>
    <w:p>
      <w:pPr>
        <w:pStyle w:val="Normal"/>
        <w:spacing w:before="0" w:after="112"/>
        <w:ind w:left="-15" w:hanging="0"/>
        <w:jc w:val="both"/>
        <w:rPr>
          <w:rFonts w:ascii="Times New Roman" w:hAnsi="Times New Roman" w:cs="Times New Roman"/>
          <w:b/>
          <w:b/>
          <w:bCs/>
          <w:sz w:val="24"/>
          <w:szCs w:val="24"/>
        </w:rPr>
      </w:pPr>
      <w:r>
        <w:rPr>
          <w:rFonts w:cs="Times New Roman" w:ascii="Times New Roman" w:hAnsi="Times New Roman"/>
          <w:b/>
          <w:bCs/>
          <w:sz w:val="24"/>
          <w:szCs w:val="24"/>
        </w:rPr>
        <w:t>Contract de împrumut cu amanet încheiat la distanță</w:t>
      </w:r>
    </w:p>
    <w:p>
      <w:pPr>
        <w:pStyle w:val="Normal"/>
        <w:spacing w:before="0" w:after="112"/>
        <w:ind w:left="-15" w:hanging="0"/>
        <w:jc w:val="both"/>
        <w:rPr>
          <w:rFonts w:ascii="Times New Roman" w:hAnsi="Times New Roman" w:cs="Times New Roman"/>
          <w:b/>
          <w:b/>
          <w:bCs/>
          <w:sz w:val="24"/>
          <w:szCs w:val="24"/>
        </w:rPr>
      </w:pPr>
      <w:r>
        <w:rPr>
          <w:rFonts w:cs="Times New Roman" w:ascii="Times New Roman" w:hAnsi="Times New Roman"/>
          <w:b/>
          <w:bCs/>
          <w:sz w:val="24"/>
          <w:szCs w:val="24"/>
        </w:rPr>
        <w:t>Nr. @ din data de</w:t>
      </w:r>
    </w:p>
    <w:p>
      <w:pPr>
        <w:pStyle w:val="Normal"/>
        <w:ind w:left="-5" w:hanging="0"/>
        <w:jc w:val="both"/>
        <w:rPr>
          <w:rFonts w:ascii="Times New Roman" w:hAnsi="Times New Roman" w:cs="Times New Roman"/>
          <w:sz w:val="24"/>
          <w:szCs w:val="24"/>
        </w:rPr>
      </w:pPr>
      <w:r>
        <w:rPr>
          <w:rFonts w:cs="Times New Roman" w:ascii="Times New Roman" w:hAnsi="Times New Roman"/>
          <w:sz w:val="24"/>
          <w:szCs w:val="24"/>
        </w:rPr>
        <w:t xml:space="preserve">Între: 1. </w:t>
      </w:r>
      <w:r>
        <w:rPr>
          <w:rFonts w:cs="Times New Roman" w:ascii="Times New Roman" w:hAnsi="Times New Roman"/>
          <w:b/>
          <w:sz w:val="24"/>
          <w:szCs w:val="24"/>
        </w:rPr>
        <w:t>S.C. EXPRESS CREDIT AMANET S.R.L. IAȘI</w:t>
      </w:r>
      <w:r>
        <w:rPr>
          <w:rFonts w:cs="Times New Roman" w:ascii="Times New Roman" w:hAnsi="Times New Roman"/>
          <w:sz w:val="24"/>
          <w:szCs w:val="24"/>
        </w:rPr>
        <w:t xml:space="preserve">, cu sediul în mun. Iași, Șoseaua Națională nr. 37, Aria Office Center, etaj 2, jud. Iași, având nr. de înregistrare la Registrul Comerțului J2002000997227, CUI RO 14890723, în calitate de CREDITOR, prin agenția </w:t>
      </w:r>
      <w:bookmarkStart w:id="1" w:name="pdl"/>
      <w:bookmarkEnd w:id="1"/>
    </w:p>
    <w:p>
      <w:pPr>
        <w:pStyle w:val="Normal"/>
        <w:jc w:val="both"/>
        <w:rPr>
          <w:rFonts w:ascii="Times New Roman" w:hAnsi="Times New Roman" w:cs="Times New Roman"/>
          <w:sz w:val="24"/>
          <w:szCs w:val="24"/>
        </w:rPr>
      </w:pPr>
      <w:r>
        <w:rPr>
          <w:rFonts w:cs="Times New Roman" w:ascii="Times New Roman" w:hAnsi="Times New Roman"/>
          <w:sz w:val="24"/>
          <w:szCs w:val="24"/>
        </w:rPr>
        <w:t xml:space="preserve">și 2. …………….. </w:t>
      </w:r>
      <w:bookmarkStart w:id="2" w:name="client-nume"/>
      <w:bookmarkEnd w:id="2"/>
      <w:r>
        <w:rPr>
          <w:rFonts w:cs="Times New Roman" w:ascii="Times New Roman" w:hAnsi="Times New Roman"/>
          <w:sz w:val="24"/>
          <w:szCs w:val="24"/>
        </w:rPr>
        <w:t xml:space="preserve">, domiciliat în ……………………., identificat prin </w:t>
      </w:r>
      <w:bookmarkStart w:id="3" w:name="client-id-card"/>
      <w:bookmarkEnd w:id="3"/>
      <w:r>
        <w:rPr>
          <w:rFonts w:cs="Times New Roman" w:ascii="Times New Roman" w:hAnsi="Times New Roman"/>
          <w:sz w:val="24"/>
          <w:szCs w:val="24"/>
        </w:rPr>
        <w:t xml:space="preserve">………………., în calitate de DEBITOR, </w:t>
      </w:r>
    </w:p>
    <w:p>
      <w:pPr>
        <w:pStyle w:val="Normal"/>
        <w:jc w:val="both"/>
        <w:rPr>
          <w:rFonts w:ascii="Times New Roman" w:hAnsi="Times New Roman" w:cs="Times New Roman"/>
          <w:sz w:val="24"/>
          <w:szCs w:val="24"/>
        </w:rPr>
      </w:pPr>
      <w:r>
        <w:rPr>
          <w:rFonts w:cs="Times New Roman" w:ascii="Times New Roman" w:hAnsi="Times New Roman"/>
          <w:sz w:val="24"/>
          <w:szCs w:val="24"/>
        </w:rPr>
        <w:t xml:space="preserve">a intervenit prezentul contract de împrumut cu amanet încheiat la distanță, în temeiul prevederilor art. 2158-2170 și art. 2480-2494 din Codul Civil român, precum și în temeiul Actului Constitutiv al S.C. EXPRESS CREDIT AMANET S.R.L. IAȘI. </w:t>
      </w:r>
    </w:p>
    <w:p>
      <w:pPr>
        <w:pStyle w:val="Normal"/>
        <w:shd w:val="clear" w:color="auto" w:fill="FFFFFF"/>
        <w:spacing w:before="0" w:after="150"/>
        <w:jc w:val="both"/>
        <w:rPr>
          <w:rFonts w:ascii="Times New Roman" w:hAnsi="Times New Roman" w:eastAsia="Times New Roman" w:cs="Times New Roman"/>
          <w:b/>
          <w:b/>
          <w:bCs/>
          <w:color w:val="100000"/>
          <w:sz w:val="24"/>
          <w:szCs w:val="24"/>
        </w:rPr>
      </w:pPr>
      <w:r>
        <w:rPr>
          <w:rFonts w:eastAsia="Times New Roman" w:cs="Times New Roman" w:ascii="Times New Roman" w:hAnsi="Times New Roman"/>
          <w:b/>
          <w:bCs/>
          <w:color w:val="100000"/>
          <w:sz w:val="24"/>
          <w:szCs w:val="24"/>
        </w:rPr>
      </w:r>
    </w:p>
    <w:p>
      <w:pPr>
        <w:pStyle w:val="Normal"/>
        <w:shd w:val="clear" w:color="auto" w:fill="FFFFFF"/>
        <w:spacing w:before="0" w:after="150"/>
        <w:jc w:val="both"/>
        <w:rPr>
          <w:rFonts w:ascii="Times New Roman" w:hAnsi="Times New Roman" w:eastAsia="Times New Roman" w:cs="Times New Roman"/>
          <w:color w:val="100000"/>
          <w:sz w:val="24"/>
          <w:szCs w:val="24"/>
        </w:rPr>
      </w:pPr>
      <w:r>
        <w:rPr>
          <w:rFonts w:eastAsia="Times New Roman" w:cs="Times New Roman" w:ascii="Times New Roman" w:hAnsi="Times New Roman"/>
          <w:b/>
          <w:bCs/>
          <w:color w:val="100000"/>
          <w:sz w:val="24"/>
          <w:szCs w:val="24"/>
        </w:rPr>
        <w:t>CLAUZE CONTRACTUALE</w:t>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t>Art. 1. Obiectul contractului:</w:t>
      </w:r>
    </w:p>
    <w:p>
      <w:pPr>
        <w:pStyle w:val="ListParagraph"/>
        <w:numPr>
          <w:ilvl w:val="1"/>
          <w:numId w:val="3"/>
        </w:numPr>
        <w:tabs>
          <w:tab w:val="clear" w:pos="720"/>
          <w:tab w:val="left" w:pos="284" w:leader="none"/>
          <w:tab w:val="left" w:pos="426" w:leader="none"/>
        </w:tabs>
        <w:spacing w:lineRule="auto" w:line="276"/>
        <w:ind w:left="0" w:hanging="0"/>
        <w:jc w:val="both"/>
        <w:rPr>
          <w:rFonts w:ascii="Times New Roman" w:hAnsi="Times New Roman" w:cs="Times New Roman"/>
          <w:b/>
          <w:b/>
          <w:bCs/>
          <w:sz w:val="24"/>
          <w:szCs w:val="24"/>
        </w:rPr>
      </w:pPr>
      <w:r>
        <w:rPr>
          <w:rFonts w:cs="Times New Roman" w:ascii="Times New Roman" w:hAnsi="Times New Roman"/>
          <w:sz w:val="24"/>
          <w:szCs w:val="24"/>
        </w:rPr>
        <w:t>Obiectul prezentului Contract îl constituie predarea de către DEBITOR a bunurilor mobile din proprietatea sa, descrise în prezentul</w:t>
      </w:r>
      <w:r>
        <w:rPr>
          <w:rFonts w:cs="Times New Roman" w:ascii="Times New Roman" w:hAnsi="Times New Roman"/>
          <w:bCs/>
          <w:sz w:val="24"/>
          <w:szCs w:val="24"/>
        </w:rPr>
        <w:t xml:space="preserve"> contract,</w:t>
      </w:r>
      <w:r>
        <w:rPr>
          <w:rFonts w:cs="Times New Roman" w:ascii="Times New Roman" w:hAnsi="Times New Roman"/>
          <w:sz w:val="24"/>
          <w:szCs w:val="24"/>
        </w:rPr>
        <w:t xml:space="preserve"> în amanet CREDITORULUI, pentru a garanta restituirea împrumutului în cuantumul prevăzut pe prima pagină a contractului, suma primită de acesta de la CREDITOR. Predarea bunului/bunurilor mobile se va efectua anterior încheierii prezentului contract, urmare a solicitării exprese a DEBITORULUI și a înțelegerii și acceptării exprese de către acesta a Termenilor și condițiilor “Împrumut online” </w:t>
      </w:r>
      <w:r>
        <w:rPr>
          <w:rFonts w:cs="Times New Roman" w:ascii="Times New Roman" w:hAnsi="Times New Roman"/>
          <w:b/>
          <w:bCs/>
          <w:sz w:val="24"/>
          <w:szCs w:val="24"/>
        </w:rPr>
        <w:t>(Anexa 2),</w:t>
      </w:r>
      <w:r>
        <w:rPr>
          <w:rFonts w:cs="Times New Roman" w:ascii="Times New Roman" w:hAnsi="Times New Roman"/>
          <w:sz w:val="24"/>
          <w:szCs w:val="24"/>
        </w:rPr>
        <w:t xml:space="preserve"> și a Prelucrării datelor cu caracter personal </w:t>
      </w:r>
      <w:r>
        <w:rPr>
          <w:rFonts w:cs="Times New Roman" w:ascii="Times New Roman" w:hAnsi="Times New Roman"/>
          <w:b/>
          <w:bCs/>
          <w:sz w:val="24"/>
          <w:szCs w:val="24"/>
        </w:rPr>
        <w:t>(Anexa 1).</w:t>
      </w:r>
    </w:p>
    <w:p>
      <w:pPr>
        <w:pStyle w:val="ListParagraph"/>
        <w:tabs>
          <w:tab w:val="clear" w:pos="720"/>
          <w:tab w:val="left" w:pos="284" w:leader="none"/>
          <w:tab w:val="left" w:pos="426" w:leader="none"/>
        </w:tabs>
        <w:ind w:left="0" w:hanging="0"/>
        <w:jc w:val="both"/>
        <w:rPr>
          <w:rFonts w:ascii="Times New Roman" w:hAnsi="Times New Roman" w:cs="Times New Roman"/>
          <w:b/>
          <w:b/>
          <w:bCs/>
          <w:sz w:val="24"/>
          <w:szCs w:val="24"/>
        </w:rPr>
      </w:pPr>
      <w:r>
        <w:rPr>
          <w:rFonts w:cs="Times New Roman" w:ascii="Times New Roman" w:hAnsi="Times New Roman"/>
          <w:b/>
          <w:bCs/>
          <w:sz w:val="24"/>
          <w:szCs w:val="24"/>
        </w:rPr>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t>Art. 2. Evaluarea bunului:</w:t>
      </w:r>
    </w:p>
    <w:p>
      <w:pPr>
        <w:pStyle w:val="Normal"/>
        <w:jc w:val="both"/>
        <w:rPr>
          <w:rFonts w:ascii="Times New Roman" w:hAnsi="Times New Roman" w:cs="Times New Roman"/>
          <w:sz w:val="24"/>
          <w:szCs w:val="24"/>
        </w:rPr>
      </w:pPr>
      <w:r>
        <w:rPr>
          <w:rFonts w:cs="Times New Roman" w:ascii="Times New Roman" w:hAnsi="Times New Roman"/>
          <w:sz w:val="24"/>
          <w:szCs w:val="24"/>
        </w:rPr>
        <w:t>2.1. Părțile convin, de comun acord, că evaluarea bunului/bunurilor prevăzute pe prima pagină a contractului s-a făcut după data preluării fizice a bunului/bunurilor de către CREDITOR ca urmare a transmiterii acestora de către DEBITOR prin serviciul de curierat solicitat expres de DEBITOR, această evaluare fiind acceptată de către DEBITOR anterior încheierii prezentului contract, prin acceptarea ofertei CREDITORULUI</w:t>
      </w:r>
      <w:r>
        <w:rPr>
          <w:rFonts w:cs="Times New Roman" w:ascii="Times New Roman" w:hAnsi="Times New Roman"/>
          <w:b/>
          <w:bCs/>
          <w:sz w:val="24"/>
          <w:szCs w:val="24"/>
        </w:rPr>
        <w:t xml:space="preserve"> </w:t>
      </w:r>
      <w:r>
        <w:rPr>
          <w:rFonts w:cs="Times New Roman" w:ascii="Times New Roman" w:hAnsi="Times New Roman"/>
          <w:bCs/>
          <w:sz w:val="24"/>
          <w:szCs w:val="24"/>
        </w:rPr>
        <w:t>transmisă prin e-mail</w:t>
      </w:r>
      <w:r>
        <w:rPr>
          <w:rFonts w:cs="Times New Roman" w:ascii="Times New Roman" w:hAnsi="Times New Roman"/>
          <w:b/>
          <w:bCs/>
          <w:sz w:val="24"/>
          <w:szCs w:val="24"/>
        </w:rPr>
        <w:t>,</w:t>
      </w:r>
      <w:r>
        <w:rPr>
          <w:rFonts w:cs="Times New Roman" w:ascii="Times New Roman" w:hAnsi="Times New Roman"/>
          <w:sz w:val="24"/>
          <w:szCs w:val="24"/>
        </w:rPr>
        <w:t xml:space="preserve"> VALOAREA astfel stabilită fiind considerată VALOAREA DE ÎNLOCUIRE A BUNULUI/BUNURILOR.</w:t>
      </w:r>
    </w:p>
    <w:p>
      <w:pPr>
        <w:pStyle w:val="Normal"/>
        <w:jc w:val="both"/>
        <w:rPr>
          <w:rFonts w:ascii="Times New Roman" w:hAnsi="Times New Roman" w:cs="Times New Roman"/>
          <w:sz w:val="24"/>
          <w:szCs w:val="24"/>
        </w:rPr>
      </w:pPr>
      <w:r>
        <w:rPr>
          <w:rFonts w:cs="Times New Roman" w:ascii="Times New Roman" w:hAnsi="Times New Roman"/>
          <w:sz w:val="24"/>
          <w:szCs w:val="24"/>
        </w:rPr>
        <w:t>Părțile sunt de acord că, în urma evaluării, din gramajul brut al obiectelor amanetate din aur/argint, se va scădea greutatea materialelor auxiliare precum: pietre, silicon, piele, plastic, lemn, etc., precum și pierderea survenită în urma procesului de topire, pentru eventualitatea în care bunul/bunurile nu mai sunt răscumpărate de către DEBITOR.</w:t>
      </w:r>
    </w:p>
    <w:p>
      <w:pPr>
        <w:pStyle w:val="Normal"/>
        <w:jc w:val="both"/>
        <w:rPr>
          <w:rFonts w:ascii="Times New Roman" w:hAnsi="Times New Roman" w:cs="Times New Roman"/>
          <w:sz w:val="24"/>
          <w:szCs w:val="24"/>
        </w:rPr>
      </w:pPr>
      <w:r>
        <w:rPr>
          <w:rFonts w:cs="Times New Roman" w:ascii="Times New Roman" w:hAnsi="Times New Roman"/>
          <w:sz w:val="24"/>
          <w:szCs w:val="24"/>
        </w:rPr>
        <w:t>Părțile acceptă în mod expres că suma creditată menționată pe prima pagină a contractului poate fi inferioară VALORII rezultate în urma evaluării bunului/bunurilor (VALOAREA DE ÎNLOCUIRE A BUNURILOR), ca urmare a solicitării exprese a DEBITORULUI, însă, oricând pe durata contractuală, DEBITORUL poate solicita suplimentarea sumei creditate astfel încât valoarea totală a sumei împrumutate să nu depășească VALOAREA evaluată a bunului/bunurilor predate.</w:t>
      </w:r>
    </w:p>
    <w:p>
      <w:pPr>
        <w:pStyle w:val="Normal"/>
        <w:jc w:val="both"/>
        <w:rPr>
          <w:rFonts w:ascii="Times New Roman" w:hAnsi="Times New Roman" w:cs="Times New Roman"/>
          <w:sz w:val="24"/>
          <w:szCs w:val="24"/>
        </w:rPr>
      </w:pPr>
      <w:r>
        <w:rPr>
          <w:rFonts w:cs="Times New Roman" w:ascii="Times New Roman" w:hAnsi="Times New Roman"/>
          <w:sz w:val="24"/>
          <w:szCs w:val="24"/>
        </w:rPr>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t>Art. 3. Termenul de rambursare și comisionul datorat:</w:t>
      </w:r>
    </w:p>
    <w:p>
      <w:pPr>
        <w:pStyle w:val="Normal"/>
        <w:spacing w:before="0" w:after="0"/>
        <w:jc w:val="both"/>
        <w:rPr>
          <w:rFonts w:ascii="Times New Roman" w:hAnsi="Times New Roman" w:cs="Times New Roman"/>
          <w:b/>
          <w:b/>
          <w:bCs/>
          <w:sz w:val="24"/>
          <w:szCs w:val="24"/>
        </w:rPr>
      </w:pPr>
      <w:r>
        <w:rPr>
          <w:rFonts w:cs="Times New Roman" w:ascii="Times New Roman" w:hAnsi="Times New Roman"/>
          <w:sz w:val="24"/>
          <w:szCs w:val="24"/>
        </w:rPr>
        <w:t xml:space="preserve">3.1. Termenul de rambursare este stabilit de ambele părți în prima parte a contractului și curge de la data efectuării viramentului sumei împrumutate de către Creditor în contul indicat de către Debitor prin email, DEBITORUL obligându-se să restituie integral CREDITORULUI la împlinirea termenului suma împrumutată, la care se adaugă comisionul datorat pentru această perioadă contractuală. Rambursarea sumei împrumutate și a comisionului aferent perioadei contractuale se efectuează în contul bancar al companiei având </w:t>
      </w:r>
      <w:r>
        <w:rPr>
          <w:rFonts w:cs="Times New Roman" w:ascii="Times New Roman" w:hAnsi="Times New Roman"/>
          <w:b/>
          <w:bCs/>
          <w:sz w:val="24"/>
          <w:szCs w:val="24"/>
        </w:rPr>
        <w:t xml:space="preserve">cont IBAN RO87 BREL 0002 0037 1274 0100, cont în lei deschis la Libra Internet Bank SA. </w:t>
      </w:r>
    </w:p>
    <w:p>
      <w:pPr>
        <w:pStyle w:val="Normal"/>
        <w:spacing w:before="0" w:after="0"/>
        <w:rPr>
          <w:rFonts w:ascii="Times New Roman" w:hAnsi="Times New Roman" w:cs="Times New Roman"/>
          <w:sz w:val="24"/>
          <w:szCs w:val="24"/>
        </w:rPr>
      </w:pPr>
      <w:r>
        <w:rPr>
          <w:rFonts w:cs="Times New Roman" w:ascii="Times New Roman" w:hAnsi="Times New Roman"/>
          <w:sz w:val="24"/>
          <w:szCs w:val="24"/>
        </w:rPr>
        <w:t xml:space="preserve">Contractele de împrumut online pot fi prelungite de 3 ori (30 de zile contract plus 15 zile de așteptare x 3 prelungiri).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Costurile de transport și de asigurare a bunului/bunurilor pe perioada transportului sunt în sarcina Debitorului și se vor achita la livrare, direct curierului.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t>Art. 4. Suma împrumutată, comisionul datorat și alte costuri contractuale</w:t>
      </w:r>
    </w:p>
    <w:p>
      <w:pPr>
        <w:pStyle w:val="Normal"/>
        <w:jc w:val="both"/>
        <w:rPr>
          <w:rFonts w:ascii="Times New Roman" w:hAnsi="Times New Roman" w:cs="Times New Roman"/>
          <w:b/>
          <w:b/>
          <w:bCs/>
          <w:sz w:val="24"/>
          <w:szCs w:val="24"/>
        </w:rPr>
      </w:pPr>
      <w:r>
        <w:rPr>
          <w:rFonts w:cs="Times New Roman" w:ascii="Times New Roman" w:hAnsi="Times New Roman"/>
          <w:sz w:val="24"/>
          <w:szCs w:val="24"/>
        </w:rPr>
        <w:t>4.1 Suma împrumutată acordată DEBITORULUI este suma stabilită de ambele părți contractuale, fiind prevăzută pe prima pagina a contractului și va fi virată de către CREDITOR în termen de maximum 1 (una) zi lucrătoare de la data acceptării ofertei și încheierii prezentului contract, în contul DEBITORULUI transmis prin email în momentul exprimării acordului cu privire la cuantumul împrumutului.</w:t>
      </w:r>
    </w:p>
    <w:p>
      <w:pPr>
        <w:pStyle w:val="Normal"/>
        <w:jc w:val="both"/>
        <w:rPr>
          <w:rFonts w:ascii="Times New Roman" w:hAnsi="Times New Roman" w:cs="Times New Roman"/>
          <w:sz w:val="24"/>
          <w:szCs w:val="24"/>
        </w:rPr>
      </w:pPr>
      <w:r>
        <w:rPr>
          <w:rFonts w:cs="Times New Roman" w:ascii="Times New Roman" w:hAnsi="Times New Roman"/>
          <w:sz w:val="24"/>
          <w:szCs w:val="24"/>
        </w:rPr>
        <w:t>Suma împrumutată poate fi suplimentată, pe perioada termenului de rambursare, în situația în care, prin acceptarea ofertei Creditorului și prezentului contract, DEBITORUL a solicitat expres o sumă împrumutată pentru bunul/bunurile amanetate mai mic</w:t>
      </w:r>
      <w:r>
        <w:rPr>
          <w:rFonts w:cs="Times New Roman" w:ascii="Times New Roman" w:hAnsi="Times New Roman"/>
          <w:sz w:val="24"/>
          <w:szCs w:val="24"/>
          <w:lang w:val="ro-RO"/>
        </w:rPr>
        <w:t>ă decât valoarea rezultată</w:t>
      </w:r>
      <w:r>
        <w:rPr>
          <w:rFonts w:cs="Times New Roman" w:ascii="Times New Roman" w:hAnsi="Times New Roman"/>
          <w:sz w:val="24"/>
          <w:szCs w:val="24"/>
        </w:rPr>
        <w:t xml:space="preserve"> în urma evaluării bunului/bunurilor (VALOAREA DE ÎNLOCUIRE A BUNURILOR). În acest caz, suplimentarea sumei creditate se va face astfel încât valoarea totală a sumei împrumutate să nu depășească VALOAREA evaluată a bunului/bunurilor DEBITORULUI, prin solicitarea suplimentării sumei și plata integrală a comisionului la zi care vor face obiectul unui document adițional la contract.</w:t>
      </w:r>
    </w:p>
    <w:p>
      <w:pPr>
        <w:pStyle w:val="Normal"/>
        <w:jc w:val="both"/>
        <w:rPr>
          <w:rFonts w:ascii="Times New Roman" w:hAnsi="Times New Roman" w:cs="Times New Roman"/>
          <w:sz w:val="24"/>
          <w:szCs w:val="24"/>
        </w:rPr>
      </w:pPr>
      <w:r>
        <w:rPr>
          <w:rFonts w:cs="Times New Roman" w:ascii="Times New Roman" w:hAnsi="Times New Roman"/>
          <w:sz w:val="24"/>
          <w:szCs w:val="24"/>
        </w:rPr>
        <w:t xml:space="preserve">4.2. </w:t>
      </w:r>
      <w:bookmarkStart w:id="4" w:name="_Hlk84943587"/>
      <w:r>
        <w:rPr>
          <w:rFonts w:cs="Times New Roman" w:ascii="Times New Roman" w:hAnsi="Times New Roman"/>
          <w:sz w:val="24"/>
          <w:szCs w:val="24"/>
        </w:rPr>
        <w:t xml:space="preserve">Pentru suma împrumutată în cuantumul prevăzut pe prima pagină a contractului, DEBITORUL datorează un comision calculat conform grilei de comisionare </w:t>
      </w:r>
      <w:bookmarkEnd w:id="4"/>
      <w:r>
        <w:rPr>
          <w:rFonts w:cs="Times New Roman" w:ascii="Times New Roman" w:hAnsi="Times New Roman"/>
          <w:sz w:val="24"/>
          <w:szCs w:val="24"/>
        </w:rPr>
        <w:t xml:space="preserve">prevăzută în termenii și condițiile anexei la prezentul contract (Anexa 2). </w:t>
      </w:r>
    </w:p>
    <w:p>
      <w:pPr>
        <w:pStyle w:val="Normal"/>
        <w:jc w:val="both"/>
        <w:rPr>
          <w:rFonts w:ascii="Times New Roman" w:hAnsi="Times New Roman" w:cs="Times New Roman"/>
          <w:color w:val="FF0000"/>
          <w:sz w:val="24"/>
          <w:szCs w:val="24"/>
        </w:rPr>
      </w:pPr>
      <w:r>
        <w:rPr>
          <w:rFonts w:cs="Times New Roman" w:ascii="Times New Roman" w:hAnsi="Times New Roman"/>
          <w:sz w:val="24"/>
          <w:szCs w:val="24"/>
        </w:rPr>
        <w:t>În situația în care DEBITORUL alege să ramburseze integral suma împrumutată mai devreme de termenul de rambursare stabilit, comisionul se va recalcula în funcție de data efectivă a rambursării. În orice situație, pentru contractele încheiate pentru o durată mai mare de o zi, comisionul datorat va fi calculat pentru cel puțin 3 zile contractuale.</w:t>
      </w:r>
    </w:p>
    <w:p>
      <w:pPr>
        <w:pStyle w:val="Normal"/>
        <w:jc w:val="both"/>
        <w:rPr>
          <w:rFonts w:ascii="Times New Roman" w:hAnsi="Times New Roman" w:cs="Times New Roman"/>
          <w:sz w:val="24"/>
          <w:szCs w:val="24"/>
        </w:rPr>
      </w:pPr>
      <w:r>
        <w:rPr>
          <w:rFonts w:cs="Times New Roman" w:ascii="Times New Roman" w:hAnsi="Times New Roman"/>
          <w:sz w:val="24"/>
          <w:szCs w:val="24"/>
        </w:rPr>
        <w:t>4.3. Costul de transport prevăzut la art. 3 pct. 3.1. este calculat raportat la adresa de destinație specificată în momentul efectuării opțiunii de restituire a bunului/bunurilor de către DEBITOR.</w:t>
      </w:r>
    </w:p>
    <w:p>
      <w:pPr>
        <w:pStyle w:val="Normal"/>
        <w:jc w:val="both"/>
        <w:rPr>
          <w:rFonts w:ascii="Times New Roman" w:hAnsi="Times New Roman" w:cs="Times New Roman"/>
          <w:sz w:val="24"/>
          <w:szCs w:val="24"/>
        </w:rPr>
      </w:pPr>
      <w:r>
        <w:rPr>
          <w:rFonts w:cs="Times New Roman" w:ascii="Times New Roman" w:hAnsi="Times New Roman"/>
          <w:sz w:val="24"/>
          <w:szCs w:val="24"/>
        </w:rPr>
        <w:t>Costul de asigurare a bunului/bunurilor pe perioada transportului până la destinația solicitată de DEBITOR este de 1% din valoarea bunului/bunurilor care fac obiectul contractului, acest procent putând fi modificat ca urmare a schimbării condițiilor transportatorului.</w:t>
      </w:r>
    </w:p>
    <w:p>
      <w:pPr>
        <w:pStyle w:val="Normal"/>
        <w:spacing w:before="0" w:after="0"/>
        <w:jc w:val="both"/>
        <w:rPr>
          <w:rFonts w:ascii="Times New Roman" w:hAnsi="Times New Roman" w:cs="Times New Roman"/>
          <w:b/>
          <w:b/>
          <w:bCs/>
          <w:sz w:val="24"/>
          <w:szCs w:val="24"/>
        </w:rPr>
      </w:pPr>
      <w:r>
        <w:rPr>
          <w:rFonts w:cs="Times New Roman" w:ascii="Times New Roman" w:hAnsi="Times New Roman"/>
          <w:sz w:val="24"/>
          <w:szCs w:val="24"/>
        </w:rPr>
        <w:t xml:space="preserve">Costurile de transport și de asigurare a bunului/bunurilor pe perioada transportului sunt datorate de către DEBITOR firmei de curierat și </w:t>
      </w:r>
      <w:r>
        <w:rPr>
          <w:rFonts w:cs="Times New Roman" w:ascii="Times New Roman" w:hAnsi="Times New Roman"/>
          <w:b/>
          <w:bCs/>
          <w:sz w:val="24"/>
          <w:szCs w:val="24"/>
        </w:rPr>
        <w:t>se vor achita la livrare, direct curierului.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b/>
          <w:b/>
          <w:bCs/>
          <w:sz w:val="24"/>
          <w:szCs w:val="24"/>
        </w:rPr>
      </w:pPr>
      <w:r>
        <w:rPr>
          <w:rFonts w:cs="Times New Roman" w:ascii="Times New Roman" w:hAnsi="Times New Roman"/>
          <w:b/>
          <w:bCs/>
          <w:sz w:val="24"/>
          <w:szCs w:val="24"/>
        </w:rPr>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t>Art. 5.  Modalități de rambursare a sumei împrumutate</w:t>
      </w:r>
    </w:p>
    <w:p>
      <w:pPr>
        <w:pStyle w:val="Normal"/>
        <w:jc w:val="both"/>
        <w:rPr>
          <w:rFonts w:ascii="Times New Roman" w:hAnsi="Times New Roman" w:cs="Times New Roman"/>
          <w:sz w:val="24"/>
          <w:szCs w:val="24"/>
        </w:rPr>
      </w:pPr>
      <w:r>
        <w:rPr>
          <w:rFonts w:cs="Times New Roman" w:ascii="Times New Roman" w:hAnsi="Times New Roman"/>
          <w:sz w:val="24"/>
          <w:szCs w:val="24"/>
        </w:rPr>
        <w:t xml:space="preserve">5.1. În situația în care DEBITORUL, până la expirarea termenului de rambursare sau la împlinirea acestuia, optează să achite integral CREDITORULUI suma împrumutată și comisionul contractual, la data creditării contului bancar al CREDITORULUI cu aceste sume, acesta din urmă va restitui bunul/bunurile care fac obiectul prezentului contract la adresa indicată de DEBITOR transmisă prin email în momentul solicitării restituirii. Costurile de transport și de asigurare a bunului/bunurilor pe perioada transportului sunt în sarcina DEBITORULUI și se vor achita la livrare, direct curierului. </w:t>
      </w:r>
    </w:p>
    <w:p>
      <w:pPr>
        <w:pStyle w:val="Normal"/>
        <w:jc w:val="both"/>
        <w:rPr>
          <w:rFonts w:ascii="Times New Roman" w:hAnsi="Times New Roman" w:cs="Times New Roman"/>
          <w:sz w:val="24"/>
          <w:szCs w:val="24"/>
        </w:rPr>
      </w:pPr>
      <w:r>
        <w:rPr>
          <w:rFonts w:cs="Times New Roman" w:ascii="Times New Roman" w:hAnsi="Times New Roman"/>
          <w:sz w:val="24"/>
          <w:szCs w:val="24"/>
        </w:rPr>
        <w:t>5.2. DEBITORUL acceptă în mod expres faptul că, la expirarea perioadei contractuale a contractelelor încheiate pe o perioadă mai mare de 1 zi, contractul încetează, iar CREDITORUL mai păstrează 15 (cincisprezece) zile calendaristice, bunul/bunurile amanetate, pe care DEBITORUL le poate recupera în oricare zi din această perioadă de așteptare, solicitând restituirea bunului/bunurilor amanetate și plătind suma rămasă de restituit și comisioanele datorate la zi conform prezentului contract.</w:t>
      </w:r>
    </w:p>
    <w:p>
      <w:pPr>
        <w:pStyle w:val="Normal"/>
        <w:jc w:val="both"/>
        <w:rPr>
          <w:rFonts w:ascii="Times New Roman" w:hAnsi="Times New Roman" w:cs="Times New Roman"/>
          <w:sz w:val="24"/>
          <w:szCs w:val="24"/>
        </w:rPr>
      </w:pPr>
      <w:r>
        <w:rPr>
          <w:rFonts w:cs="Times New Roman" w:ascii="Times New Roman" w:hAnsi="Times New Roman"/>
          <w:sz w:val="24"/>
          <w:szCs w:val="24"/>
        </w:rPr>
        <w:t>Pentru contractele de o zi, acestea încetează la finalul zilei următoare celei în care a fost încheiat și nu beneficiază de termen de așteptare.</w:t>
      </w:r>
    </w:p>
    <w:p>
      <w:pPr>
        <w:pStyle w:val="Normal"/>
        <w:jc w:val="both"/>
        <w:rPr>
          <w:rFonts w:ascii="Times New Roman" w:hAnsi="Times New Roman" w:cs="Times New Roman"/>
          <w:sz w:val="24"/>
          <w:szCs w:val="24"/>
        </w:rPr>
      </w:pPr>
      <w:r>
        <w:rPr>
          <w:rFonts w:cs="Times New Roman" w:ascii="Times New Roman" w:hAnsi="Times New Roman"/>
          <w:sz w:val="24"/>
          <w:szCs w:val="24"/>
        </w:rPr>
        <w:t>5.3. În cazul în care DEBITORUL, în termen de maximum 15 (cincisprezece) zile calendaristice [pentru contractele încheiate pe o perioadă mai mare de o zi] nu achită sumele datorate în temeiul prezentului contract, prin transmiterea prin email a opțiunii de restituire a bunului/bunurilor, acesta îl împuternicește prin prezentul contract pe Creditor să valorifice bunul amanetat, în nume propriu, dar pe seama Debitorului. Prețul stabilit pentru valorificarea bunului amanetat de către Creditor este decis de către acesta în funcție de cererea din piață.</w:t>
      </w:r>
    </w:p>
    <w:p>
      <w:pPr>
        <w:pStyle w:val="Normal"/>
        <w:jc w:val="both"/>
        <w:rPr>
          <w:rFonts w:ascii="Times New Roman" w:hAnsi="Times New Roman" w:cs="Times New Roman"/>
          <w:sz w:val="24"/>
          <w:szCs w:val="24"/>
        </w:rPr>
      </w:pPr>
      <w:r>
        <w:rPr>
          <w:rFonts w:cs="Times New Roman" w:ascii="Times New Roman" w:hAnsi="Times New Roman"/>
          <w:sz w:val="24"/>
          <w:szCs w:val="24"/>
        </w:rPr>
        <w:t>Pentru contractele de o zi, dacă Debitorul nu achită sumele datorate până la expirarea contractului, acesta îl împuternicește prin prezentul contract pe Creditor să valorifice bunul amanetat, în nume propriu, dar pe seama Debitorului. Prețul stabilit pentru valorificarea bunului amanetat de către Creditor este decis de către acesta în funcție de cererea din piață.</w:t>
      </w:r>
    </w:p>
    <w:p>
      <w:pPr>
        <w:pStyle w:val="Normal"/>
        <w:jc w:val="both"/>
        <w:rPr>
          <w:rFonts w:ascii="Times New Roman" w:hAnsi="Times New Roman" w:cs="Times New Roman"/>
          <w:sz w:val="24"/>
          <w:szCs w:val="24"/>
        </w:rPr>
      </w:pPr>
      <w:r>
        <w:rPr>
          <w:rFonts w:cs="Times New Roman" w:ascii="Times New Roman" w:hAnsi="Times New Roman"/>
          <w:sz w:val="24"/>
          <w:szCs w:val="24"/>
        </w:rPr>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t>Art. 6.</w:t>
      </w:r>
      <w:r>
        <w:rPr>
          <w:rFonts w:cs="Times New Roman" w:ascii="Times New Roman" w:hAnsi="Times New Roman"/>
          <w:sz w:val="24"/>
          <w:szCs w:val="24"/>
        </w:rPr>
        <w:t xml:space="preserve"> </w:t>
      </w:r>
      <w:r>
        <w:rPr>
          <w:rFonts w:cs="Times New Roman" w:ascii="Times New Roman" w:hAnsi="Times New Roman"/>
          <w:b/>
          <w:bCs/>
          <w:sz w:val="24"/>
          <w:szCs w:val="24"/>
        </w:rPr>
        <w:t>Drepturile și obligațiile Creditorului:</w:t>
      </w:r>
    </w:p>
    <w:p>
      <w:pPr>
        <w:pStyle w:val="Normal"/>
        <w:jc w:val="both"/>
        <w:rPr>
          <w:rFonts w:ascii="Times New Roman" w:hAnsi="Times New Roman" w:cs="Times New Roman"/>
          <w:sz w:val="24"/>
          <w:szCs w:val="24"/>
        </w:rPr>
      </w:pPr>
      <w:r>
        <w:rPr>
          <w:rFonts w:cs="Times New Roman" w:ascii="Times New Roman" w:hAnsi="Times New Roman"/>
          <w:sz w:val="24"/>
          <w:szCs w:val="24"/>
        </w:rPr>
        <w:t>6.1. CREDITORUL se obligă să păstreze la dispoziția DEBITORULUI bunul/bunurile amanetat/e, pe toată durata Contractului, să nu-l/e înstrăineze sau să dispună în alt mod de bun/bunuri.</w:t>
      </w:r>
    </w:p>
    <w:p>
      <w:pPr>
        <w:pStyle w:val="Normal"/>
        <w:jc w:val="both"/>
        <w:rPr>
          <w:rFonts w:ascii="Times New Roman" w:hAnsi="Times New Roman" w:cs="Times New Roman"/>
          <w:sz w:val="24"/>
          <w:szCs w:val="24"/>
        </w:rPr>
      </w:pPr>
      <w:r>
        <w:rPr>
          <w:rFonts w:cs="Times New Roman" w:ascii="Times New Roman" w:hAnsi="Times New Roman"/>
          <w:sz w:val="24"/>
          <w:szCs w:val="24"/>
        </w:rPr>
        <w:t xml:space="preserve">6.2. CREDITORUL se obligă să restituie DEBITORULUI bunul/bunurile primite cu titlu de amanet, dacă acesta își îndeplinește întocmai și la termen obligațiile de plată stabilite în prezentul contract, și documentelor adiționale la acesta, prin transmiterea solicitării de restituire și achitarea integrală a sumei împrumutate și a comisionului la zi. </w:t>
      </w:r>
    </w:p>
    <w:p>
      <w:pPr>
        <w:pStyle w:val="Normal"/>
        <w:jc w:val="both"/>
        <w:rPr>
          <w:rFonts w:ascii="Times New Roman" w:hAnsi="Times New Roman" w:cs="Times New Roman"/>
          <w:sz w:val="24"/>
          <w:szCs w:val="24"/>
        </w:rPr>
      </w:pPr>
      <w:r>
        <w:rPr>
          <w:rFonts w:cs="Times New Roman" w:ascii="Times New Roman" w:hAnsi="Times New Roman"/>
          <w:sz w:val="24"/>
          <w:szCs w:val="24"/>
        </w:rPr>
        <w:t>6.3. După expirarea termenului de rambursare prevăzut la art. 3.1, CREDITORUL păstrează încă 15 (cincisprezece) zile calendaristice [pentru contractele încheiate pe o perioadă mai mare de o zi] bunul/bunurile amanetate, pe care DEBITORUL le poate recupera în oricare zi din această perioadă de așteptare, transmițând opțiunea de restituire a bunului/bunurilor amanetate și plătind suma primită și comisioanele datorate la zi conform prezentului contract. Costurile de transport și asigurare a bunului/bunurilor pe perioada transportului vor fi achitate de către DEBITOR la livrare, direct curierului.</w:t>
      </w:r>
    </w:p>
    <w:p>
      <w:pPr>
        <w:pStyle w:val="Normal"/>
        <w:jc w:val="both"/>
        <w:rPr>
          <w:rFonts w:ascii="Times New Roman" w:hAnsi="Times New Roman" w:cs="Times New Roman"/>
          <w:sz w:val="24"/>
          <w:szCs w:val="24"/>
        </w:rPr>
      </w:pPr>
      <w:r>
        <w:rPr>
          <w:rFonts w:cs="Times New Roman" w:ascii="Times New Roman" w:hAnsi="Times New Roman"/>
          <w:sz w:val="24"/>
          <w:szCs w:val="24"/>
        </w:rPr>
        <w:t xml:space="preserve">6.4. În cazul în care la expirarea termenului de rambursare ori a perioadei suplimentare de 15 (cincisprezece) zile calendaristice [aplicabil doar pentru contractele încheiate pe o perioadă mai mare de o zi], DEBITORUL nu achită integral sumele datorate conform prezentului contract și documentele adiționale la acesta, neoptând astfel pentru restituirea bunului/bunurilor amanetate, împuternicește cu puteri depline pe CREDITOR să valorifice bunul amanetat, în nume propriu, dar pe seama Debitorului. Prețul stabilit pentru valorificarea bunului amanetat de către Creditor este decis de către acesta în funcție de cererea din piață. </w:t>
      </w:r>
    </w:p>
    <w:p>
      <w:pPr>
        <w:pStyle w:val="Normal"/>
        <w:jc w:val="both"/>
        <w:rPr>
          <w:rFonts w:ascii="Times New Roman" w:hAnsi="Times New Roman" w:cs="Times New Roman"/>
          <w:sz w:val="24"/>
          <w:szCs w:val="24"/>
        </w:rPr>
      </w:pPr>
      <w:r>
        <w:rPr>
          <w:rFonts w:cs="Times New Roman" w:ascii="Times New Roman" w:hAnsi="Times New Roman"/>
          <w:sz w:val="24"/>
          <w:szCs w:val="24"/>
        </w:rPr>
        <w:t>6.5. În cazul pierderii bunului/bunurilor amanetate, din motive diferite de cele arătate la art.10 și art. 11, CREDITORUL, în situația în care este în culpă dovedită ca atare, se obligă să plătească despăgubiri către DEBITOR în cuantum de 30% din suma împrumutată, fără a mai cere rambursarea împrumutului și fără alte pretenții materiale ulterioare din partea DEBITORULUI, această sumă fiind considerată valoarea de înlocuire a bunului/bunurilor.</w:t>
      </w:r>
    </w:p>
    <w:p>
      <w:pPr>
        <w:pStyle w:val="Normal"/>
        <w:jc w:val="both"/>
        <w:rPr>
          <w:rFonts w:ascii="Times New Roman" w:hAnsi="Times New Roman" w:cs="Times New Roman"/>
          <w:sz w:val="24"/>
          <w:szCs w:val="24"/>
        </w:rPr>
      </w:pPr>
      <w:r>
        <w:rPr>
          <w:rFonts w:cs="Times New Roman" w:ascii="Times New Roman" w:hAnsi="Times New Roman"/>
          <w:sz w:val="24"/>
          <w:szCs w:val="24"/>
        </w:rPr>
        <w:t>6.6. CREDITORUL este îndreptățit a fi plătit cu preferință din bunul/bunurile amanetate înaintea altor creditori ai DEBITORULUI, valoarea debitului fiind stabilită de părți la art. 2 coroborat cu art. 4.</w:t>
      </w:r>
    </w:p>
    <w:p>
      <w:pPr>
        <w:pStyle w:val="Normal"/>
        <w:jc w:val="both"/>
        <w:rPr>
          <w:rFonts w:ascii="Times New Roman" w:hAnsi="Times New Roman" w:cs="Times New Roman"/>
          <w:sz w:val="24"/>
          <w:szCs w:val="24"/>
        </w:rPr>
      </w:pPr>
      <w:r>
        <w:rPr>
          <w:rFonts w:cs="Times New Roman" w:ascii="Times New Roman" w:hAnsi="Times New Roman"/>
          <w:sz w:val="24"/>
          <w:szCs w:val="24"/>
        </w:rPr>
        <w:t>6.7. În perioada în care bunul/bunurile este/sunt lăsat/e în amanet, CREDITORUL poate întreprinde orice acțiune în vederea reevaluării bunului/bunurilor, în scopul exclusiv de a verifica compoziția metalului prețios, în cazul bunurilor din aur/argint.</w:t>
      </w:r>
    </w:p>
    <w:p>
      <w:pPr>
        <w:pStyle w:val="Normal"/>
        <w:jc w:val="both"/>
        <w:rPr>
          <w:rFonts w:ascii="Times New Roman" w:hAnsi="Times New Roman" w:cs="Times New Roman"/>
          <w:sz w:val="24"/>
          <w:szCs w:val="24"/>
        </w:rPr>
      </w:pPr>
      <w:r>
        <w:rPr>
          <w:rFonts w:cs="Times New Roman" w:ascii="Times New Roman" w:hAnsi="Times New Roman"/>
          <w:sz w:val="24"/>
          <w:szCs w:val="24"/>
        </w:rPr>
      </w:r>
    </w:p>
    <w:p>
      <w:pPr>
        <w:pStyle w:val="Normal"/>
        <w:jc w:val="both"/>
        <w:rPr>
          <w:rFonts w:ascii="Times New Roman" w:hAnsi="Times New Roman" w:cs="Times New Roman"/>
          <w:sz w:val="24"/>
          <w:szCs w:val="24"/>
        </w:rPr>
      </w:pPr>
      <w:r>
        <w:rPr>
          <w:rFonts w:cs="Times New Roman" w:ascii="Times New Roman" w:hAnsi="Times New Roman"/>
          <w:sz w:val="24"/>
          <w:szCs w:val="24"/>
        </w:rPr>
      </w:r>
    </w:p>
    <w:p>
      <w:pPr>
        <w:pStyle w:val="Normal"/>
        <w:jc w:val="both"/>
        <w:rPr>
          <w:rFonts w:ascii="Times New Roman" w:hAnsi="Times New Roman" w:cs="Times New Roman"/>
          <w:sz w:val="24"/>
          <w:szCs w:val="24"/>
        </w:rPr>
      </w:pPr>
      <w:r>
        <w:rPr>
          <w:rFonts w:cs="Times New Roman" w:ascii="Times New Roman" w:hAnsi="Times New Roman"/>
          <w:sz w:val="24"/>
          <w:szCs w:val="24"/>
        </w:rPr>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t>Art. 7.  Drepturile și obligațiile debitorului:</w:t>
      </w:r>
    </w:p>
    <w:p>
      <w:pPr>
        <w:pStyle w:val="Normal"/>
        <w:jc w:val="both"/>
        <w:rPr>
          <w:rFonts w:ascii="Times New Roman" w:hAnsi="Times New Roman" w:cs="Times New Roman"/>
          <w:sz w:val="24"/>
          <w:szCs w:val="24"/>
        </w:rPr>
      </w:pPr>
      <w:r>
        <w:rPr>
          <w:rFonts w:cs="Times New Roman" w:ascii="Times New Roman" w:hAnsi="Times New Roman"/>
          <w:sz w:val="24"/>
          <w:szCs w:val="24"/>
        </w:rPr>
        <w:t xml:space="preserve">7.1. DEBITORUL garantează că bunurile prevăzute în prezentul contract sunt proprietatea sa, că, în cazul obiectelor din aur, metalele au în compoziție aliaj de aur în proporție de 100% și răspunde de proveniența acestora, fiindu-i prezumată bună credință la încheierea prezentului Contract. </w:t>
      </w:r>
    </w:p>
    <w:p>
      <w:pPr>
        <w:pStyle w:val="Normal"/>
        <w:jc w:val="both"/>
        <w:rPr>
          <w:rFonts w:ascii="Times New Roman" w:hAnsi="Times New Roman" w:cs="Times New Roman"/>
          <w:sz w:val="24"/>
          <w:szCs w:val="24"/>
        </w:rPr>
      </w:pPr>
      <w:r>
        <w:rPr>
          <w:rFonts w:cs="Times New Roman" w:ascii="Times New Roman" w:hAnsi="Times New Roman"/>
          <w:sz w:val="24"/>
          <w:szCs w:val="24"/>
        </w:rPr>
        <w:t>DEBITORUL declară, pe proprie răspundere, prin acceptarea ofertei și încheierea prezentului contract că bunul/bunurile amanetate nu provin din săvârșirea unei infracțiuni și nu fac obiectul vreunui litigiu.</w:t>
      </w:r>
    </w:p>
    <w:p>
      <w:pPr>
        <w:pStyle w:val="Normal"/>
        <w:jc w:val="both"/>
        <w:rPr>
          <w:rFonts w:ascii="Times New Roman" w:hAnsi="Times New Roman" w:cs="Times New Roman"/>
          <w:sz w:val="24"/>
          <w:szCs w:val="24"/>
        </w:rPr>
      </w:pPr>
      <w:r>
        <w:rPr>
          <w:rFonts w:cs="Times New Roman" w:ascii="Times New Roman" w:hAnsi="Times New Roman"/>
          <w:sz w:val="24"/>
          <w:szCs w:val="24"/>
        </w:rPr>
        <w:t>7.2. În cazul în care, după primirea sumei împrumutate menționată pe prima pagină a contractului și lăsarea bunului/bunurilor în gaj, în urma reevaluării ulterioare a bunului/bunurilor amanetat/e de către CREDITOR, rezultă că bunul/bunurile nu are/au compoziția declarată, ci se dovedește a fi din alt metal/aliaj, decât cel recunoscut inițial, sau se dovedește că bunul/bunurile provine/provin din săvârșirea unei infracțiuni/fapte prevăzute de legea penală, DEBITORUL își asumă obligația de a restitui, în termen de 3 (trei) zile lucrătoare de la notificarea CREDITORULUI în acest sens, suma primită precum și comisionul datorat. În cazul în care devin incidente situațiile enunțate anterior, DEBITORUL declară, prin acceptarea ofertei și generarea prezentului contract, că înțelege faptul că societatea EXPRESS CREDIT AMANET SRL se va întoarce împotriva sa, în vederea recuperării prejudiciului produs si plății de daune–interese.</w:t>
      </w:r>
    </w:p>
    <w:p>
      <w:pPr>
        <w:pStyle w:val="Normal"/>
        <w:jc w:val="both"/>
        <w:rPr>
          <w:rFonts w:ascii="Times New Roman" w:hAnsi="Times New Roman" w:cs="Times New Roman"/>
          <w:sz w:val="24"/>
          <w:szCs w:val="24"/>
        </w:rPr>
      </w:pPr>
      <w:r>
        <w:rPr>
          <w:rFonts w:cs="Times New Roman" w:ascii="Times New Roman" w:hAnsi="Times New Roman"/>
          <w:sz w:val="24"/>
          <w:szCs w:val="24"/>
        </w:rPr>
        <w:t>7.3. DEBITORUL este obligat să verifice bunurile la restituire, în prezența curierului, întrucât prin acceptarea coletului, clientul certifică faptul că nu are nici o obiecție privind calitatea acestora. Reclamațiile ulterioare nu se iau în considerare.</w:t>
      </w:r>
    </w:p>
    <w:p>
      <w:pPr>
        <w:pStyle w:val="Normal"/>
        <w:jc w:val="both"/>
        <w:rPr>
          <w:rFonts w:ascii="Times New Roman" w:hAnsi="Times New Roman" w:cs="Times New Roman"/>
          <w:sz w:val="24"/>
          <w:szCs w:val="24"/>
        </w:rPr>
      </w:pPr>
      <w:r>
        <w:rPr>
          <w:rFonts w:cs="Times New Roman" w:ascii="Times New Roman" w:hAnsi="Times New Roman"/>
          <w:sz w:val="24"/>
          <w:szCs w:val="24"/>
        </w:rPr>
        <w:t>7.4. DEBITORUL este în drept să solicite restituirea bunului/bunurilor amanetate prin transmiterea prin email a opțiunii în acest sens, atât înainte, cât și la expirarea termenului convenit prin prezentul Contract, dar numai în situația achitării integrale a sumei cu care a fost creditat și a comisionului prevăzut la art. 4 din prezentul contract.</w:t>
      </w:r>
    </w:p>
    <w:p>
      <w:pPr>
        <w:pStyle w:val="Normal"/>
        <w:jc w:val="both"/>
        <w:rPr>
          <w:rFonts w:ascii="Times New Roman" w:hAnsi="Times New Roman" w:cs="Times New Roman"/>
          <w:sz w:val="24"/>
          <w:szCs w:val="24"/>
        </w:rPr>
      </w:pPr>
      <w:r>
        <w:rPr>
          <w:rFonts w:cs="Times New Roman" w:ascii="Times New Roman" w:hAnsi="Times New Roman"/>
          <w:sz w:val="24"/>
          <w:szCs w:val="24"/>
        </w:rPr>
        <w:t>7.5. Răspunderea pentru viciile ascunse privind obiectul amanetat revine exclusiv DEBITORULUI.</w:t>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t>Art. 8. Clauze speciale și declarații:</w:t>
      </w:r>
    </w:p>
    <w:p>
      <w:pPr>
        <w:pStyle w:val="Normal"/>
        <w:jc w:val="both"/>
        <w:rPr>
          <w:rFonts w:ascii="Times New Roman" w:hAnsi="Times New Roman" w:cs="Times New Roman"/>
          <w:sz w:val="24"/>
          <w:szCs w:val="24"/>
        </w:rPr>
      </w:pPr>
      <w:r>
        <w:rPr>
          <w:rFonts w:cs="Times New Roman" w:ascii="Times New Roman" w:hAnsi="Times New Roman"/>
          <w:sz w:val="24"/>
          <w:szCs w:val="24"/>
        </w:rPr>
        <w:t xml:space="preserve">8.1. În temeiul art. 52 din Legea 93/2009 privind instituțiile financiare nebancare, cu modificările și completările ulterioare precum și în temeiul Deciziei nr. 23 din 14 Octombrie 2019 pronunțată de I.C.C.J. în dosar nr. 3162/1/2018 prezentul contract constituie titlu executoriu și se poate executa conform prevederilor art. 622 și urm. NCPC. Părțile consimt faptul că prezentul contract se încheie în mod valabil la momentul primirii mesajului de confirmare de către DEBITOR, referitor la cererea sa și că pentru valabila încheiere a acestui tip de contract nu este nevoie de semnătură olografă sau electronică. Constituie confirmarea comenzii DEBITORULUI primirea email-ului final prin care CREDITORUL transmite faptul că va vira suma împrumutată în contul indicat de către DEBITOR în termen de 1 (una) zi lucrătoare de la transmiterea email-ului. </w:t>
      </w:r>
    </w:p>
    <w:p>
      <w:pPr>
        <w:pStyle w:val="Normal"/>
        <w:jc w:val="both"/>
        <w:rPr>
          <w:rFonts w:ascii="Times New Roman" w:hAnsi="Times New Roman" w:cs="Times New Roman"/>
          <w:sz w:val="24"/>
          <w:szCs w:val="24"/>
        </w:rPr>
      </w:pPr>
      <w:r>
        <w:rPr>
          <w:rFonts w:cs="Times New Roman" w:ascii="Times New Roman" w:hAnsi="Times New Roman"/>
          <w:sz w:val="24"/>
          <w:szCs w:val="24"/>
        </w:rPr>
        <w:t xml:space="preserve">8.2. După expirarea termenului contractual prevăzut la art. 3.1., inclusiv a perioadei de 15 (cincisprezece) zile calendaristice [aplicabil doar pentru contractele încheiate pe o perioadă mai mare de o zi] prevăzute la art. 5.3 și art. 6.3., CREDITORUL este împuternicit să valorifice bunul/bunurile amanetat/e pentru recuperarea sumei împrumutate, a comisioanelor datorate, precum și altor cheltuieli efectuate pentru păstrarea bunului/bunurilor, iar DEBITORUL este de acord să nu facă nici un fel de obiecțiuni, de nici o natură, cu privire la modul de valorificare a bunului/bunurilor lăsate în gaj. </w:t>
      </w:r>
    </w:p>
    <w:p>
      <w:pPr>
        <w:pStyle w:val="Normal"/>
        <w:jc w:val="both"/>
        <w:rPr>
          <w:rFonts w:ascii="Times New Roman" w:hAnsi="Times New Roman" w:cs="Times New Roman"/>
          <w:color w:val="202124"/>
          <w:sz w:val="24"/>
          <w:szCs w:val="24"/>
        </w:rPr>
      </w:pPr>
      <w:r>
        <w:rPr>
          <w:rFonts w:cs="Times New Roman" w:ascii="Times New Roman" w:hAnsi="Times New Roman"/>
          <w:color w:val="202124"/>
          <w:sz w:val="24"/>
          <w:szCs w:val="24"/>
        </w:rPr>
        <w:t>8.3. Debitorul are dreptul de a îi fi returnată diferența dintre prețul de vânzare și suma împrumutată, comisionul de amanet calculat până la ziua vânzării bunului amanetat și comisionul de consignație în cadrul termenului general de prescripție de 3 ani.</w:t>
      </w:r>
    </w:p>
    <w:p>
      <w:pPr>
        <w:pStyle w:val="Normal"/>
        <w:jc w:val="both"/>
        <w:rPr>
          <w:rFonts w:ascii="Times New Roman" w:hAnsi="Times New Roman" w:cs="Times New Roman"/>
          <w:sz w:val="24"/>
          <w:szCs w:val="24"/>
        </w:rPr>
      </w:pPr>
      <w:r>
        <w:rPr>
          <w:rFonts w:cs="Times New Roman" w:ascii="Times New Roman" w:hAnsi="Times New Roman"/>
          <w:sz w:val="24"/>
          <w:szCs w:val="24"/>
        </w:rPr>
        <w:t>8.4. Prin acceptarea ofertei și încheierea prezentului contract DEBITORUL, cunoscând dispozițiile legii penale privind falsul în declarații precum și consecințele juridice generate de declarațiile neadevărate, declară, pe proprie răspundere, că este în deplinătatea facultăților mintale, este unicul proprietar al bunului/bunurilor ce face/fac obiectul prezentului contract, că bunul/bunurile este\sunt libere de sarcini și nu face obiectul vreunui alt gaj sau garanții de orice fel, nu a fost înstrăinat și nici nu a fost obținut ca urmare a săvârșirii unei infracțiuni.</w:t>
      </w:r>
    </w:p>
    <w:p>
      <w:pPr>
        <w:pStyle w:val="Normal"/>
        <w:jc w:val="both"/>
        <w:rPr>
          <w:rFonts w:ascii="Times New Roman" w:hAnsi="Times New Roman" w:cs="Times New Roman"/>
          <w:sz w:val="24"/>
          <w:szCs w:val="24"/>
        </w:rPr>
      </w:pPr>
      <w:r>
        <w:rPr>
          <w:rFonts w:cs="Times New Roman" w:ascii="Times New Roman" w:hAnsi="Times New Roman"/>
          <w:sz w:val="24"/>
          <w:szCs w:val="24"/>
        </w:rPr>
        <w:t>8.5. De asemenea, DEBITORUL se obligă că, ulterior acceptării ofertei și generării prezentului Contract, nu va greva/permite instituirea oricărei sarcini asupra bunului/bunurilor ce face obiectul prezentului contract, în beneficiul unor terți.</w:t>
      </w:r>
    </w:p>
    <w:p>
      <w:pPr>
        <w:pStyle w:val="Normal"/>
        <w:jc w:val="both"/>
        <w:rPr>
          <w:rFonts w:ascii="Times New Roman" w:hAnsi="Times New Roman" w:cs="Times New Roman"/>
          <w:sz w:val="24"/>
          <w:szCs w:val="24"/>
        </w:rPr>
      </w:pPr>
      <w:r>
        <w:rPr>
          <w:rFonts w:cs="Times New Roman" w:ascii="Times New Roman" w:hAnsi="Times New Roman"/>
          <w:sz w:val="24"/>
          <w:szCs w:val="24"/>
        </w:rPr>
        <w:t>8.6. Prin acceptarea ofertei și încheierea prezentului contract, DEBITORUL declară că a luat la cunoștință și a acceptat informațiile cuprinse în prezentul Contract (caracteristicile esențiale ale Contractului, precum și efectele pe care le pot avea asupra bunului/bunurilor amanetat/e, costurile ce fac parte din valoarea totală de rambursat, precum și consecințele neplății acestora) anterior acceptării exprese a ofertei.</w:t>
      </w:r>
    </w:p>
    <w:p>
      <w:pPr>
        <w:pStyle w:val="Normal"/>
        <w:jc w:val="both"/>
        <w:rPr>
          <w:color w:val="202124"/>
          <w:sz w:val="21"/>
          <w:szCs w:val="21"/>
        </w:rPr>
      </w:pPr>
      <w:r>
        <w:rPr>
          <w:rFonts w:cs="Times New Roman" w:ascii="Times New Roman" w:hAnsi="Times New Roman"/>
          <w:sz w:val="24"/>
          <w:szCs w:val="24"/>
        </w:rPr>
        <w:t xml:space="preserve">8.7. </w:t>
      </w:r>
      <w:r>
        <w:rPr>
          <w:rFonts w:cs="Times New Roman" w:ascii="Times New Roman" w:hAnsi="Times New Roman"/>
          <w:color w:val="202124"/>
          <w:sz w:val="24"/>
          <w:szCs w:val="24"/>
        </w:rPr>
        <w:t>Debitorul declară pe propria răspundere că nu a beneficiat de returnarea de T.V.A. în nici una din țările comunitare pentru produsele înscrise în prezentul contract</w:t>
      </w:r>
      <w:r>
        <w:rPr>
          <w:color w:val="202124"/>
          <w:sz w:val="21"/>
          <w:szCs w:val="21"/>
        </w:rPr>
        <w:t>.</w:t>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t>Art. 9. Calculul termenelor:</w:t>
      </w:r>
    </w:p>
    <w:p>
      <w:pPr>
        <w:pStyle w:val="Normal"/>
        <w:jc w:val="both"/>
        <w:rPr>
          <w:rFonts w:ascii="Times New Roman" w:hAnsi="Times New Roman" w:cs="Times New Roman"/>
          <w:sz w:val="24"/>
          <w:szCs w:val="24"/>
        </w:rPr>
      </w:pPr>
      <w:r>
        <w:rPr>
          <w:rFonts w:cs="Times New Roman" w:ascii="Times New Roman" w:hAnsi="Times New Roman"/>
          <w:sz w:val="24"/>
          <w:szCs w:val="24"/>
        </w:rPr>
        <w:t>9.1. Părțile convin ca termenele prevăzute în prezentul Contract să se calculeze pentru fiecare zi calendaristică, ziua acceptării ofertei și încheierii contractului și ziua împlinirii termenului luându-se în calcul.</w:t>
      </w:r>
    </w:p>
    <w:p>
      <w:pPr>
        <w:pStyle w:val="Normal"/>
        <w:jc w:val="both"/>
        <w:rPr>
          <w:rFonts w:ascii="Times New Roman" w:hAnsi="Times New Roman" w:cs="Times New Roman"/>
          <w:sz w:val="24"/>
          <w:szCs w:val="24"/>
        </w:rPr>
      </w:pPr>
      <w:r>
        <w:rPr>
          <w:rFonts w:cs="Times New Roman" w:ascii="Times New Roman" w:hAnsi="Times New Roman"/>
          <w:sz w:val="24"/>
          <w:szCs w:val="24"/>
        </w:rPr>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t>Art. 10. Caz fortuit și forță majoră:</w:t>
      </w:r>
    </w:p>
    <w:p>
      <w:pPr>
        <w:pStyle w:val="Normal"/>
        <w:jc w:val="both"/>
        <w:rPr>
          <w:rFonts w:ascii="Times New Roman" w:hAnsi="Times New Roman" w:cs="Times New Roman"/>
          <w:sz w:val="24"/>
          <w:szCs w:val="24"/>
        </w:rPr>
      </w:pPr>
      <w:r>
        <w:rPr>
          <w:rFonts w:cs="Times New Roman" w:ascii="Times New Roman" w:hAnsi="Times New Roman"/>
          <w:sz w:val="24"/>
          <w:szCs w:val="24"/>
        </w:rPr>
        <w:t>10.1. Pierderea bunului/bunurilor amanetat/e sau distrugerea totală/parțială a acestora datorită unui caz de forță majoră-calamități naturale, incendii, război și altele asemenea, exonerează CREDITORUL de orice răspundere.</w:t>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r>
    </w:p>
    <w:p>
      <w:pPr>
        <w:pStyle w:val="Normal"/>
        <w:jc w:val="both"/>
        <w:rPr>
          <w:rFonts w:ascii="Times New Roman" w:hAnsi="Times New Roman" w:cs="Times New Roman"/>
          <w:b/>
          <w:b/>
          <w:bCs/>
          <w:sz w:val="24"/>
          <w:szCs w:val="24"/>
        </w:rPr>
      </w:pPr>
      <w:r>
        <w:rPr>
          <w:rFonts w:cs="Times New Roman" w:ascii="Times New Roman" w:hAnsi="Times New Roman"/>
          <w:b/>
          <w:bCs/>
          <w:sz w:val="24"/>
          <w:szCs w:val="24"/>
        </w:rPr>
        <w:t>Art. 11. Dispoziții finale:</w:t>
      </w:r>
    </w:p>
    <w:p>
      <w:pPr>
        <w:pStyle w:val="Normal"/>
        <w:jc w:val="both"/>
        <w:rPr>
          <w:rFonts w:ascii="Times New Roman" w:hAnsi="Times New Roman" w:cs="Times New Roman"/>
          <w:sz w:val="24"/>
          <w:szCs w:val="24"/>
        </w:rPr>
      </w:pPr>
      <w:r>
        <w:rPr>
          <w:rFonts w:cs="Times New Roman" w:ascii="Times New Roman" w:hAnsi="Times New Roman"/>
          <w:sz w:val="24"/>
          <w:szCs w:val="24"/>
        </w:rPr>
        <w:t>11.1. În caz de neîndeplinire la termen a obligațiilor asumate de DEBITOR prevăzute în prezentul contract, DEBITORUL îl împuternicește pe CREDITOR să valorifice bunul/bunurile amanetat/e în nume propriu, dar pe seama Debitorului. Prețul stabilit pentru valorificarea bunului amanetat de către Creditor este decis de către acesta în funcție de cererea din piață.</w:t>
      </w:r>
    </w:p>
    <w:p>
      <w:pPr>
        <w:pStyle w:val="Normal"/>
        <w:jc w:val="both"/>
        <w:rPr>
          <w:rFonts w:ascii="Times New Roman" w:hAnsi="Times New Roman" w:cs="Times New Roman"/>
          <w:sz w:val="24"/>
          <w:szCs w:val="24"/>
        </w:rPr>
      </w:pPr>
      <w:r>
        <w:rPr>
          <w:rFonts w:cs="Times New Roman" w:ascii="Times New Roman" w:hAnsi="Times New Roman"/>
          <w:sz w:val="24"/>
          <w:szCs w:val="24"/>
        </w:rPr>
        <w:t>CREDITORUL nu își asumă răspunderea pentru utilizarea neautorizată sau frauduloasă, în orice mod, de către o altă persoană (terț, apropiat, membru al familiei sau orice altă persoană) a datelor din contractul de amanet (număr de contract sau orice alte date).</w:t>
      </w:r>
    </w:p>
    <w:p>
      <w:pPr>
        <w:pStyle w:val="Normal"/>
        <w:jc w:val="both"/>
        <w:rPr>
          <w:rFonts w:ascii="Times New Roman" w:hAnsi="Times New Roman" w:cs="Times New Roman"/>
          <w:sz w:val="24"/>
          <w:szCs w:val="24"/>
        </w:rPr>
      </w:pPr>
      <w:r>
        <w:rPr>
          <w:rFonts w:cs="Times New Roman" w:ascii="Times New Roman" w:hAnsi="Times New Roman"/>
          <w:sz w:val="24"/>
          <w:szCs w:val="24"/>
        </w:rPr>
        <w:t>11.2. Legea aplicabilă prezentului contract, documentelor adiționale și anexelor la acesta este legea română.</w:t>
      </w:r>
    </w:p>
    <w:p>
      <w:pPr>
        <w:pStyle w:val="Normal"/>
        <w:jc w:val="both"/>
        <w:rPr>
          <w:rFonts w:ascii="Times New Roman" w:hAnsi="Times New Roman" w:cs="Times New Roman"/>
          <w:sz w:val="24"/>
          <w:szCs w:val="24"/>
        </w:rPr>
      </w:pPr>
      <w:r>
        <w:rPr>
          <w:rFonts w:cs="Times New Roman" w:ascii="Times New Roman" w:hAnsi="Times New Roman"/>
          <w:sz w:val="24"/>
          <w:szCs w:val="24"/>
        </w:rPr>
        <w:t>11.3. Orice neînțelegeri cu privire la interpretarea, executarea, modificarea/completarea prezentului contract se vor soluționa amiabil; în cazul în care nu se va putea rezolva pe cale amiabilă, părțile se vor adresa instanțelor de judecată competente din România.</w:t>
      </w:r>
    </w:p>
    <w:p>
      <w:pPr>
        <w:pStyle w:val="Normal"/>
        <w:jc w:val="both"/>
        <w:rPr>
          <w:rFonts w:ascii="Times New Roman" w:hAnsi="Times New Roman" w:cs="Times New Roman"/>
          <w:sz w:val="24"/>
          <w:szCs w:val="24"/>
        </w:rPr>
      </w:pPr>
      <w:r>
        <w:rPr>
          <w:rFonts w:cs="Times New Roman" w:ascii="Times New Roman" w:hAnsi="Times New Roman"/>
          <w:sz w:val="24"/>
          <w:szCs w:val="24"/>
        </w:rPr>
        <w:t>11.4.</w:t>
      </w:r>
      <w:r>
        <w:rPr>
          <w:rFonts w:cs="Times New Roman" w:ascii="Times New Roman" w:hAnsi="Times New Roman"/>
          <w:b/>
          <w:bCs/>
          <w:sz w:val="24"/>
          <w:szCs w:val="24"/>
        </w:rPr>
        <w:t xml:space="preserve"> </w:t>
      </w:r>
      <w:r>
        <w:rPr>
          <w:rFonts w:cs="Times New Roman" w:ascii="Times New Roman" w:hAnsi="Times New Roman"/>
          <w:sz w:val="24"/>
          <w:szCs w:val="24"/>
        </w:rPr>
        <w:t>Acceptarea ofertei, parte integrantă a prezentului contract și încheierea prezentului contract reprezintă negociere directă și liberă de orice fel de constrângere, cu privire la fiecare articol în parte din contract și anexele la acesta, părțile înțelegând perfect și fiind în acord deplin asupra modului în care acestea sunt formulate și interpretate, manifestarea acordului expres prin acceptarea ofertei, a anexelor la contract și încheierea prezentului contract, fiind rezultatul voinței părților și a acestei negocieri.</w:t>
      </w:r>
    </w:p>
    <w:p>
      <w:pPr>
        <w:pStyle w:val="Normal"/>
        <w:jc w:val="both"/>
        <w:rPr>
          <w:rFonts w:ascii="Times New Roman" w:hAnsi="Times New Roman" w:cs="Times New Roman"/>
          <w:sz w:val="24"/>
          <w:szCs w:val="24"/>
        </w:rPr>
      </w:pPr>
      <w:r>
        <w:rPr>
          <w:rFonts w:cs="Times New Roman" w:ascii="Times New Roman" w:hAnsi="Times New Roman"/>
          <w:sz w:val="24"/>
          <w:szCs w:val="24"/>
        </w:rPr>
        <w:t>Prin acceptarea ofertei, a anexelor la contract și încheierea prezentului contract, părțile declară în mod expres că au citit, înțeles și sunt pe deplin de acord cu toate prevederile Contractului, ofertei și anexelor la contract.</w:t>
      </w:r>
    </w:p>
    <w:p>
      <w:pPr>
        <w:pStyle w:val="Normal"/>
        <w:jc w:val="both"/>
        <w:rPr>
          <w:rFonts w:ascii="Times New Roman" w:hAnsi="Times New Roman" w:cs="Times New Roman"/>
          <w:sz w:val="24"/>
          <w:szCs w:val="24"/>
        </w:rPr>
      </w:pPr>
      <w:r>
        <w:rPr>
          <w:rFonts w:cs="Times New Roman" w:ascii="Times New Roman" w:hAnsi="Times New Roman"/>
          <w:sz w:val="24"/>
          <w:szCs w:val="24"/>
        </w:rPr>
        <w:t>Anexele care fac parte integrantă din prezentul contract:</w:t>
      </w:r>
    </w:p>
    <w:p>
      <w:pPr>
        <w:pStyle w:val="Normal"/>
        <w:jc w:val="both"/>
        <w:rPr>
          <w:rFonts w:ascii="Times New Roman" w:hAnsi="Times New Roman" w:cs="Times New Roman"/>
          <w:sz w:val="24"/>
          <w:szCs w:val="24"/>
        </w:rPr>
      </w:pPr>
      <w:r>
        <w:rPr>
          <w:rFonts w:cs="Times New Roman" w:ascii="Times New Roman" w:hAnsi="Times New Roman"/>
          <w:b/>
          <w:bCs/>
          <w:sz w:val="24"/>
          <w:szCs w:val="24"/>
        </w:rPr>
        <w:t>Anexa 1</w:t>
      </w:r>
      <w:r>
        <w:rPr>
          <w:rFonts w:cs="Times New Roman" w:ascii="Times New Roman" w:hAnsi="Times New Roman"/>
          <w:sz w:val="24"/>
          <w:szCs w:val="24"/>
        </w:rPr>
        <w:t xml:space="preserve"> – Prelucrarea datelor cu caracter personal</w:t>
      </w:r>
    </w:p>
    <w:p>
      <w:pPr>
        <w:pStyle w:val="Normal"/>
        <w:spacing w:before="0" w:after="160"/>
        <w:jc w:val="both"/>
        <w:rPr>
          <w:rFonts w:ascii="Times New Roman" w:hAnsi="Times New Roman" w:cs="Times New Roman"/>
          <w:sz w:val="24"/>
          <w:szCs w:val="24"/>
        </w:rPr>
      </w:pPr>
      <w:r>
        <w:rPr>
          <w:rFonts w:cs="Times New Roman" w:ascii="Times New Roman" w:hAnsi="Times New Roman"/>
          <w:b/>
          <w:bCs/>
          <w:sz w:val="24"/>
          <w:szCs w:val="24"/>
        </w:rPr>
        <w:t>Anexa 2</w:t>
      </w:r>
      <w:r>
        <w:rPr>
          <w:rFonts w:cs="Times New Roman" w:ascii="Times New Roman" w:hAnsi="Times New Roman"/>
          <w:sz w:val="24"/>
          <w:szCs w:val="24"/>
        </w:rPr>
        <w:t xml:space="preserve"> - Termeni și condiții “Împrumut online”</w:t>
      </w:r>
    </w:p>
    <w:sectPr>
      <w:headerReference w:type="default" r:id="rId8"/>
      <w:footerReference w:type="default" r:id="rId9"/>
      <w:type w:val="nextPage"/>
      <w:pgSz w:w="11906" w:h="16838"/>
      <w:pgMar w:left="1440" w:right="1440" w:header="720" w:top="2022" w:footer="720" w:bottom="993"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Times New Roman">
    <w:charset w:val="01"/>
    <w:family w:val="roman"/>
    <w:pitch w:val="variable"/>
  </w:font>
  <w:font w:name="Wingdings">
    <w:charset w:val="02"/>
    <w:family w:val="auto"/>
    <w:pitch w:val="default"/>
  </w:font>
  <w:font w:name="Courier New">
    <w:charset w:val="01"/>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i/>
        <w:i/>
        <w:iCs/>
        <w:lang w:val="ro-RO"/>
      </w:rPr>
    </w:pPr>
    <w:r>
      <w:rPr>
        <w:i/>
        <w:iCs/>
        <w:lang w:val="ro-RO"/>
      </w:rPr>
      <w:t>Actualizat la data de 13.11.2025</w:t>
    </w:r>
  </w:p>
  <w:p>
    <w:pPr>
      <w:pStyle w:val="Footer"/>
      <w:jc w:val="center"/>
      <w:rPr>
        <w:i/>
        <w:i/>
        <w:iCs/>
        <w:lang w:val="ro-RO"/>
      </w:rPr>
    </w:pPr>
    <w:r>
      <w:rPr>
        <w:i/>
        <w:iCs/>
        <w:lang w:val="ro-RO"/>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i/>
        <w:i/>
        <w:iCs/>
        <w:lang w:val="ro-RO"/>
      </w:rPr>
    </w:pPr>
    <w:r>
      <w:rPr>
        <w:i/>
        <w:iCs/>
        <w:lang w:val="ro-RO"/>
      </w:rPr>
      <w:t xml:space="preserve">Actualizat la data de </w:t>
    </w:r>
    <w:r>
      <w:rPr>
        <w:i/>
        <w:iCs/>
        <w:lang w:val="ro-RO"/>
      </w:rPr>
      <w:t>13</w:t>
    </w:r>
    <w:r>
      <w:rPr>
        <w:i/>
        <w:iCs/>
        <w:lang w:val="ro-RO"/>
      </w:rPr>
      <w:t>.</w:t>
    </w:r>
    <w:r>
      <w:rPr>
        <w:i/>
        <w:iCs/>
        <w:lang w:val="ro-RO"/>
      </w:rPr>
      <w:t>11</w:t>
    </w:r>
    <w:r>
      <w:rPr>
        <w:i/>
        <w:iCs/>
        <w:lang w:val="ro-RO"/>
      </w:rPr>
      <w:t>.2025</w:t>
    </w:r>
  </w:p>
  <w:p>
    <w:pPr>
      <w:pStyle w:val="Footer"/>
      <w:jc w:val="center"/>
      <w:rPr>
        <w:i/>
        <w:i/>
        <w:iCs/>
        <w:lang w:val="ro-RO"/>
      </w:rPr>
    </w:pPr>
    <w:r>
      <w:rPr>
        <w:i/>
        <w:iCs/>
        <w:lang w:val="ro-RO"/>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i/>
        <w:i/>
        <w:iCs/>
        <w:lang w:val="ro-RO"/>
      </w:rPr>
    </w:pPr>
    <w:r>
      <w:rPr>
        <w:i/>
        <w:iCs/>
        <w:lang w:val="ro-RO"/>
      </w:rPr>
      <w:t xml:space="preserve">Actualizat la data de </w:t>
    </w:r>
    <w:r>
      <w:rPr>
        <w:i/>
        <w:iCs/>
        <w:lang w:val="ro-RO"/>
      </w:rPr>
      <w:t>13</w:t>
    </w:r>
    <w:r>
      <w:rPr>
        <w:i/>
        <w:iCs/>
        <w:lang w:val="ro-RO"/>
      </w:rPr>
      <w:t>.</w:t>
    </w:r>
    <w:r>
      <w:rPr>
        <w:i/>
        <w:iCs/>
        <w:lang w:val="ro-RO"/>
      </w:rPr>
      <w:t>11</w:t>
    </w:r>
    <w:r>
      <w:rPr>
        <w:i/>
        <w:iCs/>
        <w:lang w:val="ro-RO"/>
      </w:rPr>
      <w:t>.2025</w:t>
    </w:r>
  </w:p>
  <w:p>
    <w:pPr>
      <w:pStyle w:val="Footer"/>
      <w:jc w:val="center"/>
      <w:rPr>
        <w:i/>
        <w:i/>
        <w:iCs/>
        <w:lang w:val="ro-RO"/>
      </w:rPr>
    </w:pPr>
    <w:r>
      <w:rPr>
        <w:i/>
        <w:iCs/>
        <w:lang w:val="ro-RO"/>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b/>
        <w:b/>
        <w:bCs/>
        <w:i/>
        <w:i/>
        <w:iCs/>
        <w:sz w:val="24"/>
        <w:szCs w:val="24"/>
        <w:lang w:val="ro-RO"/>
      </w:rPr>
    </w:pPr>
    <w:r>
      <w:drawing>
        <wp:anchor behindDoc="1" distT="0" distB="0" distL="114300" distR="114300" simplePos="0" locked="0" layoutInCell="0" allowOverlap="1" relativeHeight="4">
          <wp:simplePos x="0" y="0"/>
          <wp:positionH relativeFrom="column">
            <wp:posOffset>3867150</wp:posOffset>
          </wp:positionH>
          <wp:positionV relativeFrom="paragraph">
            <wp:posOffset>-257175</wp:posOffset>
          </wp:positionV>
          <wp:extent cx="2707005" cy="666750"/>
          <wp:effectExtent l="0" t="0" r="0" b="0"/>
          <wp:wrapTopAndBottom/>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
                  <pic:cNvPicPr>
                    <a:picLocks noChangeAspect="1" noChangeArrowheads="1"/>
                  </pic:cNvPicPr>
                </pic:nvPicPr>
                <pic:blipFill>
                  <a:blip r:embed="rId1"/>
                  <a:stretch>
                    <a:fillRect/>
                  </a:stretch>
                </pic:blipFill>
                <pic:spPr bwMode="auto">
                  <a:xfrm>
                    <a:off x="0" y="0"/>
                    <a:ext cx="2707005" cy="666750"/>
                  </a:xfrm>
                  <a:prstGeom prst="rect">
                    <a:avLst/>
                  </a:prstGeom>
                </pic:spPr>
              </pic:pic>
            </a:graphicData>
          </a:graphic>
        </wp:anchor>
      </w:drawing>
    </w:r>
    <w:r>
      <w:rPr>
        <w:b/>
        <w:bCs/>
        <w:i/>
        <w:iCs/>
        <w:sz w:val="24"/>
        <w:szCs w:val="24"/>
        <w:lang w:val="ro-RO"/>
      </w:rPr>
      <w:t xml:space="preserve">ANEXA 2                     </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b/>
        <w:b/>
        <w:bCs/>
        <w:i/>
        <w:i/>
        <w:iCs/>
        <w:sz w:val="24"/>
        <w:szCs w:val="24"/>
        <w:lang w:val="ro-RO"/>
      </w:rPr>
    </w:pPr>
    <w:r>
      <w:drawing>
        <wp:anchor behindDoc="1" distT="0" distB="0" distL="114300" distR="114300" simplePos="0" locked="0" layoutInCell="0" allowOverlap="1" relativeHeight="12">
          <wp:simplePos x="0" y="0"/>
          <wp:positionH relativeFrom="column">
            <wp:posOffset>3867150</wp:posOffset>
          </wp:positionH>
          <wp:positionV relativeFrom="paragraph">
            <wp:posOffset>-257175</wp:posOffset>
          </wp:positionV>
          <wp:extent cx="2707005" cy="666750"/>
          <wp:effectExtent l="0" t="0" r="0" b="0"/>
          <wp:wrapTopAndBottom/>
          <wp:docPr id="2"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pic:cNvPicPr>
                    <a:picLocks noChangeAspect="1" noChangeArrowheads="1"/>
                  </pic:cNvPicPr>
                </pic:nvPicPr>
                <pic:blipFill>
                  <a:blip r:embed="rId1"/>
                  <a:stretch>
                    <a:fillRect/>
                  </a:stretch>
                </pic:blipFill>
                <pic:spPr bwMode="auto">
                  <a:xfrm>
                    <a:off x="0" y="0"/>
                    <a:ext cx="2707005" cy="666750"/>
                  </a:xfrm>
                  <a:prstGeom prst="rect">
                    <a:avLst/>
                  </a:prstGeom>
                </pic:spPr>
              </pic:pic>
            </a:graphicData>
          </a:graphic>
        </wp:anchor>
      </w:drawing>
    </w:r>
    <w:r>
      <w:rPr>
        <w:b/>
        <w:bCs/>
        <w:i/>
        <w:iCs/>
        <w:sz w:val="24"/>
        <w:szCs w:val="24"/>
        <w:lang w:val="ro-RO"/>
      </w:rPr>
      <w:t xml:space="preserve">ANEXA 2                     </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b/>
        <w:b/>
        <w:bCs/>
        <w:i/>
        <w:i/>
        <w:iCs/>
        <w:sz w:val="24"/>
        <w:szCs w:val="24"/>
        <w:lang w:val="ro-RO"/>
      </w:rPr>
    </w:pPr>
    <w:r>
      <w:drawing>
        <wp:anchor behindDoc="1" distT="0" distB="0" distL="114300" distR="114300" simplePos="0" locked="0" layoutInCell="0" allowOverlap="1" relativeHeight="11">
          <wp:simplePos x="0" y="0"/>
          <wp:positionH relativeFrom="column">
            <wp:posOffset>3867150</wp:posOffset>
          </wp:positionH>
          <wp:positionV relativeFrom="paragraph">
            <wp:posOffset>-257175</wp:posOffset>
          </wp:positionV>
          <wp:extent cx="2707005" cy="666750"/>
          <wp:effectExtent l="0" t="0" r="0" b="0"/>
          <wp:wrapTopAndBottom/>
          <wp:docPr id="3"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
                  <pic:cNvPicPr>
                    <a:picLocks noChangeAspect="1" noChangeArrowheads="1"/>
                  </pic:cNvPicPr>
                </pic:nvPicPr>
                <pic:blipFill>
                  <a:blip r:embed="rId1"/>
                  <a:stretch>
                    <a:fillRect/>
                  </a:stretch>
                </pic:blipFill>
                <pic:spPr bwMode="auto">
                  <a:xfrm>
                    <a:off x="0" y="0"/>
                    <a:ext cx="2707005" cy="666750"/>
                  </a:xfrm>
                  <a:prstGeom prst="rect">
                    <a:avLst/>
                  </a:prstGeom>
                </pic:spPr>
              </pic:pic>
            </a:graphicData>
          </a:graphic>
        </wp:anchor>
      </w:drawing>
    </w:r>
    <w:r>
      <w:rPr>
        <w:b/>
        <w:bCs/>
        <w:i/>
        <w:iCs/>
        <w:sz w:val="24"/>
        <w:szCs w:val="24"/>
        <w:lang w:val="ro-RO"/>
      </w:rPr>
      <w:t xml:space="preserve">ANEXA 2                     </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lvlText w:val="%1."/>
      <w:lvlJc w:val="left"/>
      <w:pPr>
        <w:tabs>
          <w:tab w:val="num" w:pos="720"/>
        </w:tabs>
        <w:ind w:left="720" w:hanging="36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0"/>
        </w:tabs>
        <w:ind w:left="1080" w:hanging="360"/>
      </w:pPr>
      <w:rPr>
        <w:rFonts w:ascii="Wingdings" w:hAnsi="Wingdings" w:cs="Wingdings"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3">
    <w:lvl w:ilvl="0">
      <w:start w:val="1"/>
      <w:numFmt w:val="decimal"/>
      <w:lvlText w:val="%1."/>
      <w:lvlJc w:val="left"/>
      <w:pPr>
        <w:tabs>
          <w:tab w:val="num" w:pos="0"/>
        </w:tabs>
        <w:ind w:left="405" w:hanging="405"/>
      </w:pPr>
      <w:rPr>
        <w:b w:val="false"/>
      </w:rPr>
    </w:lvl>
    <w:lvl w:ilvl="1">
      <w:start w:val="1"/>
      <w:numFmt w:val="decimal"/>
      <w:lvlText w:val="%1.%2."/>
      <w:lvlJc w:val="left"/>
      <w:pPr>
        <w:tabs>
          <w:tab w:val="num" w:pos="0"/>
        </w:tabs>
        <w:ind w:left="405" w:hanging="405"/>
      </w:pPr>
      <w:rPr>
        <w:b w:val="false"/>
      </w:rPr>
    </w:lvl>
    <w:lvl w:ilvl="2">
      <w:start w:val="1"/>
      <w:numFmt w:val="decimal"/>
      <w:lvlText w:val="%1.%2.%3."/>
      <w:lvlJc w:val="left"/>
      <w:pPr>
        <w:tabs>
          <w:tab w:val="num" w:pos="0"/>
        </w:tabs>
        <w:ind w:left="720" w:hanging="720"/>
      </w:pPr>
      <w:rPr>
        <w:b w:val="false"/>
      </w:rPr>
    </w:lvl>
    <w:lvl w:ilvl="3">
      <w:start w:val="1"/>
      <w:numFmt w:val="decimal"/>
      <w:lvlText w:val="%1.%2.%3.%4."/>
      <w:lvlJc w:val="left"/>
      <w:pPr>
        <w:tabs>
          <w:tab w:val="num" w:pos="0"/>
        </w:tabs>
        <w:ind w:left="720" w:hanging="720"/>
      </w:pPr>
      <w:rPr>
        <w:b w:val="false"/>
      </w:rPr>
    </w:lvl>
    <w:lvl w:ilvl="4">
      <w:start w:val="1"/>
      <w:numFmt w:val="decimal"/>
      <w:lvlText w:val="%1.%2.%3.%4.%5."/>
      <w:lvlJc w:val="left"/>
      <w:pPr>
        <w:tabs>
          <w:tab w:val="num" w:pos="0"/>
        </w:tabs>
        <w:ind w:left="1080" w:hanging="1080"/>
      </w:pPr>
      <w:rPr>
        <w:b w:val="false"/>
      </w:rPr>
    </w:lvl>
    <w:lvl w:ilvl="5">
      <w:start w:val="1"/>
      <w:numFmt w:val="decimal"/>
      <w:lvlText w:val="%1.%2.%3.%4.%5.%6."/>
      <w:lvlJc w:val="left"/>
      <w:pPr>
        <w:tabs>
          <w:tab w:val="num" w:pos="0"/>
        </w:tabs>
        <w:ind w:left="1080" w:hanging="1080"/>
      </w:pPr>
      <w:rPr>
        <w:b w:val="false"/>
      </w:rPr>
    </w:lvl>
    <w:lvl w:ilvl="6">
      <w:start w:val="1"/>
      <w:numFmt w:val="decimal"/>
      <w:lvlText w:val="%1.%2.%3.%4.%5.%6.%7."/>
      <w:lvlJc w:val="left"/>
      <w:pPr>
        <w:tabs>
          <w:tab w:val="num" w:pos="0"/>
        </w:tabs>
        <w:ind w:left="1440" w:hanging="1440"/>
      </w:pPr>
      <w:rPr>
        <w:b w:val="false"/>
      </w:rPr>
    </w:lvl>
    <w:lvl w:ilvl="7">
      <w:start w:val="1"/>
      <w:numFmt w:val="decimal"/>
      <w:lvlText w:val="%1.%2.%3.%4.%5.%6.%7.%8."/>
      <w:lvlJc w:val="left"/>
      <w:pPr>
        <w:tabs>
          <w:tab w:val="num" w:pos="0"/>
        </w:tabs>
        <w:ind w:left="1440" w:hanging="1440"/>
      </w:pPr>
      <w:rPr>
        <w:b w:val="false"/>
      </w:rPr>
    </w:lvl>
    <w:lvl w:ilvl="8">
      <w:start w:val="1"/>
      <w:numFmt w:val="decimal"/>
      <w:lvlText w:val="%1.%2.%3.%4.%5.%6.%7.%8.%9."/>
      <w:lvlJc w:val="left"/>
      <w:pPr>
        <w:tabs>
          <w:tab w:val="num" w:pos="0"/>
        </w:tabs>
        <w:ind w:left="1800" w:hanging="1800"/>
      </w:pPr>
      <w:rPr>
        <w:b w:val="false"/>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1">
    <w:name w:val="Heading 1"/>
    <w:next w:val="Normal"/>
    <w:link w:val="Heading1Char"/>
    <w:qFormat/>
    <w:rsid w:val="00034ca1"/>
    <w:pPr>
      <w:keepNext w:val="true"/>
      <w:keepLines/>
      <w:widowControl/>
      <w:numPr>
        <w:ilvl w:val="0"/>
        <w:numId w:val="1"/>
      </w:numPr>
      <w:suppressAutoHyphens w:val="true"/>
      <w:bidi w:val="0"/>
      <w:spacing w:lineRule="auto" w:line="252" w:before="0" w:after="0"/>
      <w:jc w:val="left"/>
      <w:outlineLvl w:val="0"/>
    </w:pPr>
    <w:rPr>
      <w:rFonts w:ascii="Calibri" w:hAnsi="Calibri" w:eastAsia="Calibri" w:cs="Calibri"/>
      <w:color w:val="000000"/>
      <w:kern w:val="0"/>
      <w:sz w:val="29"/>
      <w:szCs w:val="22"/>
      <w:lang w:val="en-US" w:eastAsia="zh-CN"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f20b2b"/>
    <w:rPr/>
  </w:style>
  <w:style w:type="character" w:styleId="FooterChar" w:customStyle="1">
    <w:name w:val="Footer Char"/>
    <w:basedOn w:val="DefaultParagraphFont"/>
    <w:link w:val="Footer"/>
    <w:uiPriority w:val="99"/>
    <w:qFormat/>
    <w:rsid w:val="00f20b2b"/>
    <w:rPr/>
  </w:style>
  <w:style w:type="character" w:styleId="InternetLink">
    <w:name w:val="Hyperlink"/>
    <w:basedOn w:val="DefaultParagraphFont"/>
    <w:uiPriority w:val="99"/>
    <w:unhideWhenUsed/>
    <w:rsid w:val="001b6a1c"/>
    <w:rPr>
      <w:color w:val="0563C1" w:themeColor="hyperlink"/>
      <w:u w:val="single"/>
    </w:rPr>
  </w:style>
  <w:style w:type="character" w:styleId="UnresolvedMention" w:customStyle="1">
    <w:name w:val="Unresolved Mention"/>
    <w:basedOn w:val="DefaultParagraphFont"/>
    <w:uiPriority w:val="99"/>
    <w:semiHidden/>
    <w:unhideWhenUsed/>
    <w:qFormat/>
    <w:rsid w:val="001b6a1c"/>
    <w:rPr>
      <w:color w:val="605E5C"/>
      <w:shd w:fill="E1DFDD" w:val="clear"/>
    </w:rPr>
  </w:style>
  <w:style w:type="character" w:styleId="ListParagraphChar" w:customStyle="1">
    <w:name w:val="List Paragraph Char"/>
    <w:basedOn w:val="DefaultParagraphFont"/>
    <w:link w:val="ListParagraph"/>
    <w:uiPriority w:val="34"/>
    <w:qFormat/>
    <w:rsid w:val="00f84583"/>
    <w:rPr/>
  </w:style>
  <w:style w:type="character" w:styleId="Heading1Char" w:customStyle="1">
    <w:name w:val="Heading 1 Char"/>
    <w:basedOn w:val="DefaultParagraphFont"/>
    <w:link w:val="Heading1"/>
    <w:qFormat/>
    <w:rsid w:val="00034ca1"/>
    <w:rPr>
      <w:rFonts w:ascii="Calibri" w:hAnsi="Calibri" w:eastAsia="Calibri" w:cs="Calibri"/>
      <w:color w:val="000000"/>
      <w:sz w:val="29"/>
      <w:lang w:eastAsia="zh-CN"/>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HeaderandFooter">
    <w:name w:val="Header and Footer"/>
    <w:basedOn w:val="Normal"/>
    <w:qFormat/>
    <w:pPr/>
    <w:rPr/>
  </w:style>
  <w:style w:type="paragraph" w:styleId="Header">
    <w:name w:val="Header"/>
    <w:basedOn w:val="Normal"/>
    <w:link w:val="HeaderChar"/>
    <w:uiPriority w:val="99"/>
    <w:unhideWhenUsed/>
    <w:rsid w:val="00f20b2b"/>
    <w:pPr>
      <w:tabs>
        <w:tab w:val="clear" w:pos="720"/>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f20b2b"/>
    <w:pPr>
      <w:tabs>
        <w:tab w:val="clear" w:pos="720"/>
        <w:tab w:val="center" w:pos="4513" w:leader="none"/>
        <w:tab w:val="right" w:pos="9026" w:leader="none"/>
      </w:tabs>
      <w:spacing w:lineRule="auto" w:line="240" w:before="0" w:after="0"/>
    </w:pPr>
    <w:rPr/>
  </w:style>
  <w:style w:type="paragraph" w:styleId="ListParagraph">
    <w:name w:val="List Paragraph"/>
    <w:basedOn w:val="Normal"/>
    <w:link w:val="ListParagraphChar"/>
    <w:uiPriority w:val="34"/>
    <w:qFormat/>
    <w:rsid w:val="001b6a1c"/>
    <w:pPr>
      <w:spacing w:before="0" w:after="16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Grid1">
    <w:name w:val="Table Grid1"/>
    <w:basedOn w:val="TableNormal"/>
    <w:uiPriority w:val="59"/>
    <w:rsid w:val="00f84583"/>
    <w:pPr>
      <w:spacing w:after="0" w:line="240" w:lineRule="auto"/>
    </w:pPr>
    <w:rPr>
      <w:lang w:val="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
    <w:name w:val="Table Grid"/>
    <w:basedOn w:val="TableNormal"/>
    <w:uiPriority w:val="39"/>
    <w:rsid w:val="00f8458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eGrid11">
    <w:name w:val="Table Grid11"/>
    <w:basedOn w:val="TableNormal"/>
    <w:uiPriority w:val="59"/>
    <w:rsid w:val="00ab5651"/>
    <w:pPr>
      <w:spacing w:after="0" w:line="240" w:lineRule="auto"/>
    </w:pPr>
    <w:rPr>
      <w:lang w:val="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eGrid2">
    <w:name w:val="Table Grid2"/>
    <w:basedOn w:val="TableNormal"/>
    <w:uiPriority w:val="59"/>
    <w:rsid w:val="00ab5651"/>
    <w:pPr>
      <w:spacing w:after="0" w:line="240" w:lineRule="auto"/>
    </w:pPr>
    <w:rPr>
      <w:lang w:val="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expresscredit.ro/cere-imprumut/" TargetMode="External"/><Relationship Id="rId3" Type="http://schemas.openxmlformats.org/officeDocument/2006/relationships/hyperlink" Target="mailto:imprumutonline@expresscredit.ro" TargetMode="Externa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header" Target="header2.xml"/><Relationship Id="rId7" Type="http://schemas.openxmlformats.org/officeDocument/2006/relationships/footer" Target="footer2.xml"/><Relationship Id="rId8" Type="http://schemas.openxmlformats.org/officeDocument/2006/relationships/header" Target="header3.xml"/><Relationship Id="rId9" Type="http://schemas.openxmlformats.org/officeDocument/2006/relationships/footer" Target="footer3.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Relationship Id="rId14"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_rels/header2.xml.rels><?xml version="1.0" encoding="UTF-8"?>
<Relationships xmlns="http://schemas.openxmlformats.org/package/2006/relationships"><Relationship Id="rId1"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A63150-6A24-446C-9F6C-378300F653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Application>LibreOffice/7.1.8.1$Linux_X86_64 LibreOffice_project/10$Build-1</Application>
  <AppVersion>15.0000</AppVersion>
  <Pages>11</Pages>
  <Words>4203</Words>
  <Characters>24438</Characters>
  <CharactersWithSpaces>28575</CharactersWithSpaces>
  <Paragraphs>236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2025-10-30T14:12:00Z</dcterms:created>
  <dc:creator>Express Credit</dc:creator>
  <dc:description/>
  <dc:language>en-US</dc:language>
  <cp:lastModifiedBy/>
  <dcterms:modified xsi:type="dcterms:W3CDTF">2025-11-13T08:57:25Z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